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14" w:name="_GoBack"/>
      <w:bookmarkEnd w:id="14"/>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阜康市文化体育广播电视和旅游局项目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项目名称：九月化债第三批经费</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阜康市文化体育广播电视和旅游局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阜康市文化体育广播电视和旅游局</w:t>
      </w:r>
    </w:p>
    <w:p>
      <w:pPr>
        <w:pStyle w:val="8"/>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九月化债第三批经费项目支</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2"/>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rPr>
          <w:rFonts w:hint="eastAsia"/>
          <w:lang w:val="en-US" w:eastAsia="zh-CN"/>
        </w:rPr>
      </w:pPr>
      <w:r>
        <w:rPr>
          <w:rFonts w:hint="eastAsia" w:cs="宋体"/>
          <w:color w:val="000000" w:themeColor="text1"/>
          <w:highlight w:val="none"/>
          <w:shd w:val="clear" w:color="auto" w:fill="auto"/>
          <w:lang w:eastAsia="zh-CN"/>
          <w14:textFill>
            <w14:solidFill>
              <w14:schemeClr w14:val="tx1"/>
            </w14:solidFill>
          </w14:textFill>
        </w:rPr>
        <w:t>本项目用于支付偿还阜康市文体中心项目、阜康市文体中心文物安防等以前年度项目欠款。</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cs="宋体"/>
          <w:color w:val="000000" w:themeColor="text1"/>
          <w:highlight w:val="none"/>
          <w:shd w:val="clear" w:color="auto" w:fill="auto"/>
          <w:lang w:eastAsia="zh-CN"/>
          <w14:textFill>
            <w14:solidFill>
              <w14:schemeClr w14:val="tx1"/>
            </w14:solidFill>
          </w14:textFill>
        </w:rPr>
        <w:t>本项目用于支付偿还阜康市文体中心项目、阜康市文体中心文物安防等以前年度项目欠款。</w:t>
      </w:r>
    </w:p>
    <w:p>
      <w:pPr>
        <w:ind w:firstLine="0" w:firstLineChars="0"/>
        <w:rPr>
          <w:rFonts w:hint="eastAsia"/>
          <w:lang w:val="zh-TW" w:eastAsia="zh-TW"/>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lang w:val="zh-TW"/>
        </w:rPr>
        <w:t>单位层面确定了单位内部控制工作组织架构。</w:t>
      </w:r>
      <w:r>
        <w:rPr>
          <w:rFonts w:hint="eastAsia"/>
          <w:lang w:val="zh-TW" w:eastAsia="zh-CN"/>
        </w:rPr>
        <w:t>办公室</w:t>
      </w:r>
      <w:r>
        <w:rPr>
          <w:rFonts w:hint="eastAsia"/>
          <w:lang w:val="zh-TW"/>
        </w:rPr>
        <w:t>负责牵头建立内部控制体系，研究制定各项内部控制管理制度，组织协调内部控制日常工作</w:t>
      </w:r>
      <w:r>
        <w:rPr>
          <w:rFonts w:hint="eastAsia"/>
          <w:lang w:val="zh-TW" w:eastAsia="zh-CN"/>
        </w:rPr>
        <w:t>，</w:t>
      </w:r>
      <w:r>
        <w:rPr>
          <w:rFonts w:hint="eastAsia"/>
          <w:lang w:val="zh-TW"/>
        </w:rPr>
        <w:t>对所实物资产进行管理。</w:t>
      </w:r>
      <w:r>
        <w:rPr>
          <w:rFonts w:hint="eastAsia"/>
          <w:lang w:val="en-US" w:eastAsia="zh-CN"/>
        </w:rPr>
        <w:t>各部门</w:t>
      </w:r>
      <w:r>
        <w:rPr>
          <w:rFonts w:hint="eastAsia"/>
          <w:lang w:val="zh-TW"/>
        </w:rPr>
        <w:t>配合内部控制牵头部门对所内相关的经济活动进行流程梳理，提出具体的内部控制措施和手段；认真执行内部控制管理制度，落实相关工作要求。</w:t>
      </w:r>
    </w:p>
    <w:p>
      <w:pPr>
        <w:keepNext w:val="0"/>
        <w:keepLines w:val="0"/>
        <w:pageBreakBefore w:val="0"/>
        <w:widowControl w:val="0"/>
        <w:kinsoku/>
        <w:wordWrap/>
        <w:overflowPunct/>
        <w:topLinePunct w:val="0"/>
        <w:autoSpaceDE/>
        <w:autoSpaceDN/>
        <w:bidi w:val="0"/>
        <w:adjustRightInd/>
        <w:snapToGrid/>
        <w:spacing w:line="360" w:lineRule="auto"/>
        <w:ind w:left="0" w:leftChars="0" w:firstLine="280" w:firstLineChars="100"/>
        <w:textAlignment w:val="auto"/>
        <w:rPr>
          <w:rFonts w:hint="eastAsia" w:ascii="宋体" w:hAnsi="宋体" w:eastAsia="宋体" w:cs="宋体"/>
          <w:color w:val="auto"/>
          <w:highlight w:val="none"/>
          <w:shd w:val="clear" w:color="auto" w:fill="auto"/>
          <w:lang w:val="en-US" w:eastAsia="zh-CN"/>
        </w:rPr>
      </w:pPr>
      <w:r>
        <w:rPr>
          <w:rFonts w:hint="eastAsia"/>
          <w:lang w:val="zh-TW" w:eastAsia="zh-CN"/>
        </w:rPr>
        <w:t>　</w:t>
      </w:r>
      <w:r>
        <w:rPr>
          <w:rFonts w:hint="eastAsia"/>
          <w:lang w:val="zh-TW"/>
        </w:rPr>
        <w:t>单位内部控制依托的重大事项议事机制，决策、执行和监督相分离机制等工作机制；重大经济活动事项的决策形式是单位领导班子会议。涉及单位重大经济活动事项，必须列入单位班子会议研究、审议和决策。会议决议经</w:t>
      </w:r>
      <w:r>
        <w:rPr>
          <w:rFonts w:hint="eastAsia"/>
          <w:lang w:val="zh-TW" w:eastAsia="zh-CN"/>
        </w:rPr>
        <w:t>党组</w:t>
      </w:r>
      <w:r>
        <w:rPr>
          <w:rFonts w:hint="eastAsia"/>
          <w:lang w:val="zh-TW"/>
        </w:rPr>
        <w:t>主要领导审签后在一定范围内发布。重大经济活动事项的决议经审定后由分管领导负责实施，由会议确定的责任部门具体执行。</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九月化债第三批经费项目预算安排总额为214.1万元，其中财政资金214.1万元，其他资金0万元，2022年实际收到预算资金214.1万元，预算资金到位率为100%。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截止2022年12月31日，九月化债第三批经费项目实际支付资金214.1万元，预算执行率100%。结转结余资金0万元，已上缴国库。项目资金主要用于偿还以前年度项目欠款等方面。</w:t>
      </w:r>
    </w:p>
    <w:p>
      <w:pPr>
        <w:pStyle w:val="2"/>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项目绩效目标</w:t>
      </w:r>
    </w:p>
    <w:p>
      <w:pPr>
        <w:pStyle w:val="4"/>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1.总体目标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九月化债第三批经费项目绩效总体目标为：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1.偿还9个项目所欠款项；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2.按照相关部门管理要求规范使用，于9月30日前使用完毕。</w:t>
      </w:r>
    </w:p>
    <w:p>
      <w:pPr>
        <w:pStyle w:val="4"/>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000000" w:themeColor="text1"/>
          <w:highlight w:val="none"/>
          <w:shd w:val="clear" w:color="auto" w:fill="auto"/>
          <w:lang w:eastAsia="zh-CN"/>
          <w14:textFill>
            <w14:solidFill>
              <w14:schemeClr w14:val="tx1"/>
            </w14:solidFill>
          </w14:textFill>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“偿还欠款企业数量”指标，预期指标值为9个；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“偿还资金发放完成率”指标，预期指标值为100%；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“资金规范管理使用率”指标，预期指标值为100%；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③时效指标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“资金发放完成时间”指标，预期指标值为2022-9-30；.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“资金使用及时率”指标，预期指标值为100%；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“南京华典建筑装饰工程有限公司-文体中心外墙面装饰项目”指标，预期指标值为≤61.62万元；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“新疆天正工程建设项目管理有限公司阜康分公司-文体中心项目监理费”指标，预期指标值为≤15.82万元；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“新疆天正工程建设项目管理有限公司阜康分公司-文体中心项目监理费”指标，预期指标值为≤33.16万元；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“新疆天正工程建设项目管理有限公司阜康分公司-文体中心外墙面装修监理费”指标，预期指标值为≤43.69万元；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“新疆天正工程建设项目管理有限公司阜康分公司-博物馆展厅深化设计布展”指标，预期指标值为≤5万元；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“新疆建业建设项目管理有限公司-文体中心室内装修招标代理费3”指标，预期指标值为≤2.16万元；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“新疆金方正科技有限公司-文博中心弱电文物安防系统”指标，预期指标值为≤46.64万元；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“新疆建业建设项目管理有限公司-文体中心室内装修招标代理费1”指标，预期指标值为≤2.24万元；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“新疆建业建设项目管理有限公司-文体中心室内装修招标代理费2”指标，预期指标值为≤3.77万元；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（2）项目效益目标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“提升企业经济发展”指标，预期指标值为提升；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本项目不存在社会效益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③生态效益指标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本项目不存在生态效益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“暂缓部分企业因不可控因素经济困”指标，预期指标值为长期；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⑤满意度指标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“企业满意度”指标，预期指标值为≥90%。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二、绩效评价工作开展情况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bookmarkStart w:id="0" w:name="_Toc26632"/>
      <w:bookmarkStart w:id="1" w:name="_Toc22922"/>
      <w:bookmarkStart w:id="2" w:name="_Toc5258"/>
      <w:bookmarkStart w:id="3" w:name="_Toc12868"/>
      <w:bookmarkStart w:id="4" w:name="_Toc5462343"/>
      <w:bookmarkStart w:id="5" w:name="_Toc22169_WPSOffice_Level2"/>
      <w:bookmarkStart w:id="6" w:name="_Toc21664"/>
      <w:bookmarkStart w:id="7" w:name="_Toc480473081"/>
      <w:r>
        <w:rPr>
          <w:rFonts w:hint="eastAsia" w:ascii="宋体" w:hAnsi="宋体" w:eastAsia="宋体" w:cs="宋体"/>
          <w:color w:val="auto"/>
          <w:highlight w:val="none"/>
          <w:shd w:val="clear" w:color="auto" w:fill="auto"/>
          <w:lang w:val="en-US"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highlight w:val="none"/>
          <w:shd w:val="clear" w:color="auto" w:fill="auto"/>
          <w:lang w:val="en-US" w:eastAsia="zh-CN"/>
        </w:rPr>
        <w:t>、对象和范围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1.绩效评价的目的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此次我单位根据《财政支出绩效评价管理暂行办法》（财预〔2020〕10号）文件要求对2022年度我单位实施的九月化债第三批经费项目开展部门绩效评价。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auto"/>
          <w:highlight w:val="none"/>
          <w:shd w:val="clear" w:color="auto" w:fill="auto"/>
          <w:lang w:val="en-US" w:eastAsia="zh-CN"/>
        </w:rPr>
        <w:t>本次绩效评价主要围绕项目决策、项目管理、项目产出、项目效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益四个维度，对该专项资金的预算编制、项目实施、监督管理、资金支出使用、绩效目标的实现情况以及受益对象的满意度等开展综合评价。</w:t>
      </w:r>
    </w:p>
    <w:p>
      <w:pPr>
        <w:pStyle w:val="2"/>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本次绩效评价秉承科学规范、公正公开、分级分类、绩效相关等原则，按照从投入、过程到产出效果和影响的绩效逻辑路径，结合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九月化债第三批经费</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428278230"/>
      <w:bookmarkStart w:id="9" w:name="_Toc26131"/>
      <w:bookmarkStart w:id="10" w:name="_Toc419984722"/>
      <w:bookmarkStart w:id="11" w:name="_Toc1913"/>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阜康市文化体育广播电视和旅游局</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sz w:val="28"/>
          <w:szCs w:val="28"/>
          <w:lang w:val="en-US" w:eastAsia="zh-CN"/>
        </w:rPr>
      </w:pPr>
      <w:r>
        <w:rPr>
          <w:rFonts w:hint="eastAsia"/>
          <w:b/>
          <w:bCs/>
          <w:sz w:val="28"/>
          <w:szCs w:val="28"/>
          <w:lang w:val="zh-TW" w:eastAsia="zh-TW"/>
        </w:rPr>
        <w:t>项目绩效评价指标体系</w:t>
      </w:r>
    </w:p>
    <w:tbl>
      <w:tblPr>
        <w:tblStyle w:val="9"/>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4"/>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对项目绩效目标预期指标值与实施情况进行比较，以及采取公众问卷及抽样调查等方式进行评判的方法对九月化债第三批经费项目进行评价。</w:t>
      </w:r>
    </w:p>
    <w:p>
      <w:pPr>
        <w:pStyle w:val="4"/>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4"/>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。通过调研对九月化债第三批经费项目实施内</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容、目标信息、预算信息以及其他的一些项目基本信息，有了初步了解，为制定绩效评价工作方案做好准备。</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bidi w:val="0"/>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w:t>
      </w:r>
      <w:r>
        <w:rPr>
          <w:rFonts w:hint="eastAsia" w:cs="宋体"/>
          <w:color w:val="000000" w:themeColor="text1"/>
          <w:highlight w:val="none"/>
          <w:shd w:val="clear" w:color="auto" w:fill="auto"/>
          <w:lang w:val="en-US" w:eastAsia="zh-CN"/>
          <w14:textFill>
            <w14:solidFill>
              <w14:schemeClr w14:val="tx1"/>
            </w14:solidFill>
          </w14:textFill>
        </w:rPr>
        <w:t>阜康市文化体育广播电视和旅游局项目</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基本概况，</w:t>
      </w:r>
      <w:r>
        <w:rPr>
          <w:rFonts w:hint="eastAsia"/>
          <w:lang w:val="en-US" w:eastAsia="zh-CN"/>
        </w:rPr>
        <w:t>统筹文化、体育、广播电视和旅游事业、产业振兴发展，推进文化、体育、广播电视和旅游融合发展，推动落实文化、体育、广播电视和旅游体制机制改革工作。管理全市重大文化、体育和旅游活动，指导全市重点文化、体育、广播电视和旅游设施建设，组织文化和旅游整体形象推广，统筹文化和旅游景区管理，指导文化、体育、广播电视和旅游科技创新新发展，推进文化、体育、广播电视和旅游行业信息化、标准化建设。管理文化、体育、广播电视和旅游产业,指导、协调、推动文化,体育、广播电视和旅游产业发展,制定发展规划、产业政策并组织实施; 组织实施文化和旅游资源普查、挖掘、保护与利用工作,推动文化和旅游产业投融资体系建设,促进文化和旅游产业发展; 结合乡村振兴战略,推进文化和旅游扶贫。管理、指导全市体育发展; 负责推动多元化体育服务体系建设,推进体育公共服务。指导统筹文物工作.负责文物保护管理,宣传教育、抢救维修 、协调配合考古发掘等工作 指导博物馆和革命文物工作。负责全市文市场综合执法工作,贯彻落实文化和旅游市场综合执法工作标准与规范; 指导、推动全市文化市场综合执法队伍建设;指导、监督全市文化和旅游市场综合执法工作;组织查处全市文化、体育、旅游、文物,广播电视等市场的违法行为;承担行政复议工作,维护市场秩序。</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阜康市文化体育广播电视和旅游局</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管理措施及组织实施情况；</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阜康市文化体育广播电视和旅游局</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总结分析的绩效目标完成情况及绩效报告；</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阜康市文化体育广播电视和旅游局项目的具体情况，分析该项目可能存在的问题，根据工作需要确定实地核查的内容，为现场核查做好准备。</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8"/>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lang w:val="en-US" w:eastAsia="zh-CN"/>
        </w:rPr>
        <w:t>采用的方法比较法、因素分析法、公众评判法，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九月化债第三批经费项目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ascii="宋体" w:hAnsi="宋体" w:eastAsia="宋体"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ascii="宋体" w:hAnsi="宋体" w:eastAsia="宋体" w:cs="宋体"/>
          <w:color w:val="auto"/>
          <w:highlight w:val="none"/>
          <w:shd w:val="clear" w:color="auto" w:fill="auto"/>
          <w:lang w:val="en-US" w:eastAsia="zh-CN"/>
        </w:rPr>
        <w:t>优秀</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9"/>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表3-1：九月化债第三批经费项目得分表</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100%</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四、绩效评价指标分析</w:t>
      </w:r>
    </w:p>
    <w:p>
      <w:pPr>
        <w:pStyle w:val="2"/>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项目决策由3个二级指标和6个三级指标构成，权重分20分，实际得分20分，</w:t>
      </w:r>
      <w:r>
        <w:rPr>
          <w:rFonts w:hint="eastAsia" w:ascii="宋体" w:hAnsi="宋体" w:eastAsia="宋体" w:cs="宋体"/>
          <w:color w:val="auto"/>
          <w:highlight w:val="none"/>
          <w:shd w:val="clear" w:color="auto" w:fill="auto"/>
          <w:lang w:val="zh-TW" w:eastAsia="zh-TW"/>
        </w:rPr>
        <w:t>各指标业绩值和绩效分值如表</w:t>
      </w:r>
      <w:r>
        <w:rPr>
          <w:rFonts w:hint="eastAsia" w:ascii="宋体" w:hAnsi="宋体" w:eastAsia="宋体" w:cs="宋体"/>
          <w:color w:val="auto"/>
          <w:highlight w:val="none"/>
          <w:shd w:val="clear" w:color="auto" w:fill="auto"/>
          <w:lang w:val="en-US" w:eastAsia="zh-CN"/>
        </w:rPr>
        <w:t>4-1</w:t>
      </w:r>
      <w:r>
        <w:rPr>
          <w:rFonts w:hint="eastAsia" w:ascii="宋体" w:hAnsi="宋体" w:eastAsia="宋体" w:cs="宋体"/>
          <w:color w:val="auto"/>
          <w:highlight w:val="none"/>
          <w:shd w:val="clear" w:color="auto" w:fill="auto"/>
          <w:lang w:val="zh-TW" w:eastAsia="zh-TW"/>
        </w:rPr>
        <w:t>所示</w:t>
      </w:r>
      <w:r>
        <w:rPr>
          <w:rFonts w:hint="eastAsia" w:ascii="宋体" w:hAnsi="宋体" w:eastAsia="宋体" w:cs="宋体"/>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9"/>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lang w:val="en-US" w:eastAsia="zh-CN"/>
        </w:rPr>
      </w:pPr>
      <w:r>
        <w:rPr>
          <w:rFonts w:hint="eastAsia"/>
          <w:b/>
          <w:bCs/>
          <w:lang w:val="en-US" w:eastAsia="zh-CN"/>
        </w:rPr>
        <w:t>1.立项依据充分性</w:t>
      </w:r>
    </w:p>
    <w:p>
      <w:pPr>
        <w:bidi w:val="0"/>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lang w:eastAsia="zh-CN"/>
        </w:rPr>
        <w:t>①九月化债第三批经费立项符合《国务院办公厅关于加强和规范新开工项目管理的</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通知》及自治区财政厅《关于全面清理政府采购领域妨碍公平竞争的规定和做法的通知》文件要求；</w:t>
      </w:r>
    </w:p>
    <w:p>
      <w:pPr>
        <w:bidi w:val="0"/>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②九月化债第三批经费立项符合阜康市文旅事业地方发展规划和政策要求；</w:t>
      </w:r>
    </w:p>
    <w:p>
      <w:pPr>
        <w:bidi w:val="0"/>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③九月化债第三批经费立项与阜康市文化体育广播电视和旅游局职责范围相符，属于部门履职所需；</w:t>
      </w:r>
    </w:p>
    <w:p>
      <w:pPr>
        <w:bidi w:val="0"/>
        <w:rPr>
          <w:rFonts w:hint="eastAsia"/>
          <w:lang w:eastAsia="zh-CN"/>
        </w:rPr>
      </w:pPr>
      <w:r>
        <w:rPr>
          <w:rFonts w:hint="eastAsia"/>
          <w:lang w:eastAsia="zh-CN"/>
        </w:rPr>
        <w:t>④九月化债第三批经费属于公共财政支持范围，符合中央、地方事权支出责任划分原则；</w:t>
      </w:r>
    </w:p>
    <w:p>
      <w:pPr>
        <w:bidi w:val="0"/>
        <w:rPr>
          <w:rFonts w:hint="eastAsia"/>
          <w:lang w:eastAsia="zh-CN"/>
        </w:rPr>
      </w:pPr>
      <w:r>
        <w:rPr>
          <w:rFonts w:hint="eastAsia"/>
          <w:lang w:eastAsia="zh-CN"/>
        </w:rPr>
        <w:t>⑤九月化债第三批经费与相关部门同类项目或部门内部相关项目</w:t>
      </w:r>
      <w:r>
        <w:rPr>
          <w:rFonts w:hint="eastAsia"/>
          <w:lang w:val="en-US" w:eastAsia="zh-CN"/>
        </w:rPr>
        <w:t>不</w:t>
      </w:r>
      <w:r>
        <w:rPr>
          <w:rFonts w:hint="eastAsia"/>
          <w:lang w:eastAsia="zh-CN"/>
        </w:rPr>
        <w:t>重复。</w:t>
      </w:r>
    </w:p>
    <w:p>
      <w:pPr>
        <w:bidi w:val="0"/>
        <w:rPr>
          <w:rFonts w:hint="default"/>
          <w:lang w:val="en-US" w:eastAsia="zh-CN"/>
        </w:rPr>
      </w:pPr>
      <w:r>
        <w:rPr>
          <w:rFonts w:hint="eastAsia"/>
          <w:b/>
          <w:bCs/>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lang w:eastAsia="zh-CN"/>
        </w:rPr>
      </w:pPr>
      <w:r>
        <w:rPr>
          <w:rFonts w:hint="eastAsia"/>
          <w:lang w:eastAsia="zh-CN"/>
        </w:rPr>
        <w:t>①项目按照规定的程序申请设立；</w:t>
      </w:r>
    </w:p>
    <w:p>
      <w:pPr>
        <w:bidi w:val="0"/>
        <w:rPr>
          <w:rFonts w:hint="eastAsia"/>
          <w:lang w:eastAsia="zh-CN"/>
        </w:rPr>
      </w:pPr>
      <w:r>
        <w:rPr>
          <w:rFonts w:hint="eastAsia"/>
          <w:lang w:eastAsia="zh-CN"/>
        </w:rPr>
        <w:t>②审批文件、材料符合相关要求；</w:t>
      </w:r>
    </w:p>
    <w:p>
      <w:pPr>
        <w:bidi w:val="0"/>
        <w:rPr>
          <w:rFonts w:hint="eastAsia"/>
          <w:lang w:eastAsia="zh-CN"/>
        </w:rPr>
      </w:pPr>
      <w:r>
        <w:rPr>
          <w:rFonts w:hint="eastAsia"/>
          <w:lang w:eastAsia="zh-CN"/>
        </w:rPr>
        <w:t>该项目事前经过可行性研究、风险评估、集体研究决策。</w:t>
      </w:r>
    </w:p>
    <w:p>
      <w:pPr>
        <w:bidi w:val="0"/>
        <w:rPr>
          <w:rFonts w:hint="eastAsia"/>
          <w:lang w:eastAsia="zh-CN"/>
        </w:rPr>
      </w:pPr>
      <w:r>
        <w:rPr>
          <w:rFonts w:hint="eastAsia"/>
          <w:b/>
          <w:bCs/>
          <w:lang w:val="en-US" w:eastAsia="zh-CN"/>
        </w:rPr>
        <w:t>综上，该项指标满分3分，得分3分。</w:t>
      </w:r>
    </w:p>
    <w:p>
      <w:pPr>
        <w:bidi w:val="0"/>
        <w:rPr>
          <w:rFonts w:hint="default"/>
          <w:b/>
          <w:bCs/>
          <w:lang w:val="en-US" w:eastAsia="zh-CN"/>
        </w:rPr>
      </w:pPr>
      <w:r>
        <w:rPr>
          <w:rFonts w:hint="eastAsia"/>
          <w:b/>
          <w:bCs/>
          <w:lang w:val="en-US" w:eastAsia="zh-CN"/>
        </w:rPr>
        <w:t>3.绩效目标合理性</w:t>
      </w:r>
    </w:p>
    <w:p>
      <w:pPr>
        <w:bidi w:val="0"/>
        <w:rPr>
          <w:rFonts w:hint="eastAsia"/>
          <w:lang w:eastAsia="zh-CN"/>
        </w:rPr>
      </w:pPr>
      <w:r>
        <w:rPr>
          <w:rFonts w:hint="eastAsia"/>
          <w:lang w:eastAsia="zh-CN"/>
        </w:rPr>
        <w:t>①项目有绩效目标；</w:t>
      </w:r>
    </w:p>
    <w:p>
      <w:pPr>
        <w:bidi w:val="0"/>
        <w:rPr>
          <w:rFonts w:hint="eastAsia"/>
          <w:lang w:eastAsia="zh-CN"/>
        </w:rPr>
      </w:pPr>
      <w:r>
        <w:rPr>
          <w:rFonts w:hint="eastAsia"/>
          <w:lang w:eastAsia="zh-CN"/>
        </w:rPr>
        <w:t>②项目绩效目标与实际工作内容具有相关性；</w:t>
      </w:r>
    </w:p>
    <w:p>
      <w:pPr>
        <w:bidi w:val="0"/>
        <w:rPr>
          <w:rFonts w:hint="eastAsia"/>
          <w:lang w:eastAsia="zh-CN"/>
        </w:rPr>
      </w:pPr>
      <w:r>
        <w:rPr>
          <w:rFonts w:hint="eastAsia"/>
          <w:lang w:eastAsia="zh-CN"/>
        </w:rPr>
        <w:t>③项目预期产出效益和效果符合正常的业绩水平；</w:t>
      </w:r>
    </w:p>
    <w:p>
      <w:pPr>
        <w:bidi w:val="0"/>
        <w:rPr>
          <w:rFonts w:hint="eastAsia"/>
          <w:lang w:eastAsia="zh-CN"/>
        </w:rPr>
      </w:pPr>
      <w:r>
        <w:rPr>
          <w:rFonts w:hint="eastAsia"/>
          <w:lang w:eastAsia="zh-CN"/>
        </w:rPr>
        <w:t>④与预算确定的项目投资额或资金量相匹配。</w:t>
      </w:r>
    </w:p>
    <w:p>
      <w:pPr>
        <w:bidi w:val="0"/>
        <w:rPr>
          <w:rFonts w:hint="eastAsia"/>
          <w:lang w:eastAsia="zh-CN"/>
        </w:rPr>
      </w:pPr>
      <w:r>
        <w:rPr>
          <w:rFonts w:hint="eastAsia"/>
          <w:b/>
          <w:bCs/>
          <w:lang w:val="en-US" w:eastAsia="zh-CN"/>
        </w:rPr>
        <w:t>综上，该项指标满分5分，得分5分。</w:t>
      </w:r>
    </w:p>
    <w:p>
      <w:pPr>
        <w:bidi w:val="0"/>
        <w:rPr>
          <w:rFonts w:hint="default"/>
          <w:b/>
          <w:bCs/>
          <w:lang w:val="en-US" w:eastAsia="zh-CN"/>
        </w:rPr>
      </w:pPr>
      <w:r>
        <w:rPr>
          <w:rFonts w:hint="eastAsia"/>
          <w:b/>
          <w:bCs/>
          <w:lang w:val="en-US" w:eastAsia="zh-CN"/>
        </w:rPr>
        <w:t>4.绩效指标明确性</w:t>
      </w:r>
    </w:p>
    <w:p>
      <w:pPr>
        <w:bidi w:val="0"/>
        <w:rPr>
          <w:rFonts w:hint="eastAsia"/>
          <w:lang w:eastAsia="zh-CN"/>
        </w:rPr>
      </w:pPr>
      <w:r>
        <w:rPr>
          <w:rFonts w:hint="eastAsia"/>
          <w:lang w:eastAsia="zh-CN"/>
        </w:rPr>
        <w:t>①将项目绩效目标细化分解为具体的绩效指标；</w:t>
      </w:r>
    </w:p>
    <w:p>
      <w:pPr>
        <w:bidi w:val="0"/>
        <w:rPr>
          <w:rFonts w:hint="eastAsia"/>
          <w:lang w:eastAsia="zh-CN"/>
        </w:rPr>
      </w:pPr>
      <w:r>
        <w:rPr>
          <w:rFonts w:hint="eastAsia"/>
          <w:lang w:eastAsia="zh-CN"/>
        </w:rPr>
        <w:t>②通过清晰、可衡量的指标值予以体现；</w:t>
      </w:r>
    </w:p>
    <w:p>
      <w:pPr>
        <w:bidi w:val="0"/>
        <w:rPr>
          <w:rFonts w:hint="eastAsia"/>
          <w:lang w:eastAsia="zh-CN"/>
        </w:rPr>
      </w:pPr>
      <w:r>
        <w:rPr>
          <w:rFonts w:hint="eastAsia"/>
          <w:lang w:eastAsia="zh-CN"/>
        </w:rPr>
        <w:t>③与项目目标任务数或计划数相对应。</w:t>
      </w:r>
    </w:p>
    <w:p>
      <w:pPr>
        <w:bidi w:val="0"/>
        <w:rPr>
          <w:rFonts w:hint="eastAsia"/>
          <w:lang w:eastAsia="zh-CN"/>
        </w:rPr>
      </w:pPr>
      <w:r>
        <w:rPr>
          <w:rFonts w:hint="eastAsia"/>
          <w:b/>
          <w:bCs/>
          <w:lang w:val="en-US" w:eastAsia="zh-CN"/>
        </w:rPr>
        <w:t>综上，该项指标满分10分，得分10分。</w:t>
      </w:r>
    </w:p>
    <w:p>
      <w:pPr>
        <w:bidi w:val="0"/>
        <w:rPr>
          <w:rFonts w:hint="default"/>
          <w:b/>
          <w:bCs/>
          <w:lang w:val="en-US" w:eastAsia="zh-CN"/>
        </w:rPr>
      </w:pPr>
      <w:r>
        <w:rPr>
          <w:rFonts w:hint="eastAsia"/>
          <w:b/>
          <w:bCs/>
          <w:lang w:val="en-US" w:eastAsia="zh-CN"/>
        </w:rPr>
        <w:t>5.预算编制科学性</w:t>
      </w:r>
    </w:p>
    <w:p>
      <w:pPr>
        <w:bidi w:val="0"/>
        <w:rPr>
          <w:rFonts w:hint="eastAsia"/>
          <w:lang w:eastAsia="zh-CN"/>
        </w:rPr>
      </w:pPr>
      <w:r>
        <w:rPr>
          <w:rFonts w:hint="eastAsia"/>
          <w:lang w:eastAsia="zh-CN"/>
        </w:rPr>
        <w:t>①预算编制经过科学论证；</w:t>
      </w:r>
    </w:p>
    <w:p>
      <w:pPr>
        <w:bidi w:val="0"/>
        <w:rPr>
          <w:rFonts w:hint="eastAsia"/>
          <w:lang w:eastAsia="zh-CN"/>
        </w:rPr>
      </w:pPr>
      <w:r>
        <w:rPr>
          <w:rFonts w:hint="eastAsia"/>
          <w:lang w:eastAsia="zh-CN"/>
        </w:rPr>
        <w:t>②预算内容与项目内容匹配；</w:t>
      </w:r>
    </w:p>
    <w:p>
      <w:pPr>
        <w:bidi w:val="0"/>
        <w:rPr>
          <w:rFonts w:hint="eastAsia"/>
          <w:lang w:eastAsia="zh-CN"/>
        </w:rPr>
      </w:pPr>
      <w:r>
        <w:rPr>
          <w:rFonts w:hint="eastAsia"/>
          <w:lang w:eastAsia="zh-CN"/>
        </w:rPr>
        <w:t>③预算额度测算依据充分，按照标准编制；</w:t>
      </w:r>
    </w:p>
    <w:p>
      <w:pPr>
        <w:bidi w:val="0"/>
        <w:rPr>
          <w:rFonts w:hint="eastAsia"/>
          <w:lang w:eastAsia="zh-CN"/>
        </w:rPr>
      </w:pPr>
      <w:r>
        <w:rPr>
          <w:rFonts w:hint="eastAsia"/>
          <w:lang w:eastAsia="zh-CN"/>
        </w:rPr>
        <w:t>④预算确定的项目投资额或资金量与工作任务相匹配。</w:t>
      </w:r>
    </w:p>
    <w:p>
      <w:pPr>
        <w:bidi w:val="0"/>
        <w:rPr>
          <w:rFonts w:hint="eastAsia"/>
          <w:lang w:eastAsia="zh-CN"/>
        </w:rPr>
      </w:pPr>
      <w:r>
        <w:rPr>
          <w:rFonts w:hint="eastAsia"/>
          <w:b/>
          <w:bCs/>
          <w:lang w:val="en-US" w:eastAsia="zh-CN"/>
        </w:rPr>
        <w:t>综上，该项指标满分2分，得分2分。</w:t>
      </w:r>
    </w:p>
    <w:p>
      <w:pPr>
        <w:bidi w:val="0"/>
        <w:rPr>
          <w:rFonts w:hint="default"/>
          <w:b/>
          <w:bCs/>
          <w:lang w:val="en-US" w:eastAsia="zh-CN"/>
        </w:rPr>
      </w:pPr>
      <w:r>
        <w:rPr>
          <w:rFonts w:hint="eastAsia"/>
          <w:b/>
          <w:bCs/>
          <w:lang w:val="en-US" w:eastAsia="zh-CN"/>
        </w:rPr>
        <w:t>6.资金分配合理性</w:t>
      </w:r>
    </w:p>
    <w:p>
      <w:pPr>
        <w:bidi w:val="0"/>
        <w:rPr>
          <w:rFonts w:hint="eastAsia"/>
          <w:lang w:eastAsia="zh-CN"/>
        </w:rPr>
      </w:pPr>
      <w:r>
        <w:rPr>
          <w:rFonts w:hint="eastAsia"/>
          <w:lang w:eastAsia="zh-CN"/>
        </w:rPr>
        <w:t>①预算资金分配依据充分；</w:t>
      </w:r>
    </w:p>
    <w:p>
      <w:pPr>
        <w:bidi w:val="0"/>
        <w:rPr>
          <w:rFonts w:hint="eastAsia"/>
          <w:lang w:eastAsia="zh-CN"/>
        </w:rPr>
      </w:pPr>
      <w:r>
        <w:rPr>
          <w:rFonts w:hint="eastAsia"/>
          <w:lang w:eastAsia="zh-CN"/>
        </w:rPr>
        <w:t>②资金分配额度合理，与项目单位或地方实际相适应。</w:t>
      </w:r>
    </w:p>
    <w:p>
      <w:pPr>
        <w:bidi w:val="0"/>
        <w:rPr>
          <w:rFonts w:hint="eastAsia"/>
          <w:b/>
          <w:bCs/>
          <w:lang w:val="en-US" w:eastAsia="zh-CN"/>
        </w:rPr>
      </w:pPr>
      <w:r>
        <w:rPr>
          <w:rFonts w:hint="eastAsia"/>
          <w:b/>
          <w:bCs/>
          <w:lang w:val="en-US" w:eastAsia="zh-CN"/>
        </w:rPr>
        <w:t>综上，该项指标满分3分，得分3分。</w:t>
      </w:r>
    </w:p>
    <w:p>
      <w:pPr>
        <w:pStyle w:val="2"/>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二</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ascii="宋体" w:hAnsi="宋体" w:eastAsia="宋体" w:cs="宋体"/>
          <w:b/>
          <w:bCs/>
          <w:color w:val="000000" w:themeColor="text1"/>
          <w:kern w:val="0"/>
          <w:sz w:val="28"/>
          <w:szCs w:val="28"/>
          <w:highlight w:val="none"/>
          <w:shd w:val="clear" w:color="auto" w:fill="auto"/>
          <w:lang w:val="zh-TW" w:eastAsia="zh-CN"/>
          <w14:textFill>
            <w14:solidFill>
              <w14:schemeClr w14:val="tx1"/>
            </w14:solidFill>
          </w14:textFill>
        </w:rPr>
        <w:t>管理</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numPr>
          <w:ilvl w:val="0"/>
          <w:numId w:val="4"/>
        </w:numPr>
        <w:bidi w:val="0"/>
        <w:rPr>
          <w:rFonts w:hint="eastAsia"/>
          <w:b/>
          <w:bCs/>
          <w:lang w:val="en-US" w:eastAsia="zh-CN"/>
        </w:rPr>
      </w:pPr>
      <w:r>
        <w:rPr>
          <w:rFonts w:hint="eastAsia"/>
          <w:b/>
          <w:bCs/>
          <w:lang w:val="en-US" w:eastAsia="zh-CN"/>
        </w:rPr>
        <w:t>资金到位率</w:t>
      </w:r>
    </w:p>
    <w:p>
      <w:pPr>
        <w:numPr>
          <w:ilvl w:val="0"/>
          <w:numId w:val="4"/>
        </w:numPr>
        <w:bidi w:val="0"/>
        <w:rPr>
          <w:rFonts w:hint="default"/>
          <w:lang w:val="en-US" w:eastAsia="zh-CN"/>
        </w:rPr>
      </w:pPr>
      <w:r>
        <w:rPr>
          <w:rFonts w:hint="eastAsia"/>
          <w:lang w:eastAsia="zh-CN"/>
        </w:rPr>
        <w:t>资金到位率=（</w:t>
      </w:r>
      <w:r>
        <w:rPr>
          <w:rFonts w:hint="eastAsia"/>
          <w:lang w:val="en-US" w:eastAsia="zh-CN"/>
        </w:rPr>
        <w:t>214.1/214.1</w:t>
      </w:r>
      <w:r>
        <w:rPr>
          <w:rFonts w:hint="eastAsia"/>
          <w:lang w:eastAsia="zh-CN"/>
        </w:rPr>
        <w:t>）×100%</w:t>
      </w:r>
      <w:r>
        <w:rPr>
          <w:rFonts w:hint="eastAsia"/>
          <w:lang w:val="en-US" w:eastAsia="zh-CN"/>
        </w:rPr>
        <w:t>=100%</w:t>
      </w:r>
    </w:p>
    <w:p>
      <w:pPr>
        <w:bidi w:val="0"/>
        <w:rPr>
          <w:rFonts w:hint="eastAsia"/>
          <w:lang w:eastAsia="zh-CN"/>
        </w:rPr>
      </w:pPr>
      <w:r>
        <w:rPr>
          <w:rFonts w:hint="eastAsia"/>
          <w:b/>
          <w:bCs/>
          <w:lang w:val="en-US" w:eastAsia="zh-CN"/>
        </w:rPr>
        <w:t>综上，该项指标满分4分，得分4分。</w:t>
      </w:r>
    </w:p>
    <w:p>
      <w:pPr>
        <w:bidi w:val="0"/>
        <w:rPr>
          <w:rFonts w:hint="default"/>
          <w:b/>
          <w:bCs/>
          <w:lang w:val="en-US" w:eastAsia="zh-CN"/>
        </w:rPr>
      </w:pPr>
      <w:r>
        <w:rPr>
          <w:rFonts w:hint="eastAsia"/>
          <w:b/>
          <w:bCs/>
          <w:lang w:val="en-US" w:eastAsia="zh-CN"/>
        </w:rPr>
        <w:t>2.预算执行率</w:t>
      </w:r>
    </w:p>
    <w:p>
      <w:pPr>
        <w:bidi w:val="0"/>
        <w:rPr>
          <w:rFonts w:hint="default"/>
          <w:lang w:val="en-US" w:eastAsia="zh-CN"/>
        </w:rPr>
      </w:pPr>
      <w:r>
        <w:rPr>
          <w:rFonts w:hint="eastAsia"/>
          <w:lang w:eastAsia="zh-CN"/>
        </w:rPr>
        <w:t>预算执行率=（</w:t>
      </w:r>
      <w:r>
        <w:rPr>
          <w:rFonts w:hint="eastAsia"/>
          <w:lang w:val="en-US" w:eastAsia="zh-CN"/>
        </w:rPr>
        <w:t>214.1/214.1</w:t>
      </w:r>
      <w:r>
        <w:rPr>
          <w:rFonts w:hint="eastAsia"/>
          <w:lang w:eastAsia="zh-CN"/>
        </w:rPr>
        <w:t>）×</w:t>
      </w:r>
      <w:r>
        <w:rPr>
          <w:rFonts w:hint="eastAsia"/>
          <w:lang w:val="en-US" w:eastAsia="zh-CN"/>
        </w:rPr>
        <w:t>100%=100%</w:t>
      </w:r>
    </w:p>
    <w:p>
      <w:pPr>
        <w:bidi w:val="0"/>
        <w:rPr>
          <w:rFonts w:hint="eastAsia"/>
          <w:lang w:eastAsia="zh-CN"/>
        </w:rPr>
      </w:pPr>
      <w:r>
        <w:rPr>
          <w:rFonts w:hint="eastAsia"/>
          <w:b/>
          <w:bCs/>
          <w:lang w:val="en-US" w:eastAsia="zh-CN"/>
        </w:rPr>
        <w:t>综上，该项指标满分4分，得分4分。</w:t>
      </w:r>
    </w:p>
    <w:p>
      <w:pPr>
        <w:bidi w:val="0"/>
        <w:rPr>
          <w:rFonts w:hint="default"/>
          <w:b/>
          <w:bCs/>
          <w:lang w:val="en-US" w:eastAsia="zh-CN"/>
        </w:rPr>
      </w:pPr>
      <w:r>
        <w:rPr>
          <w:rFonts w:hint="eastAsia"/>
          <w:b/>
          <w:bCs/>
          <w:lang w:val="en-US" w:eastAsia="zh-CN"/>
        </w:rPr>
        <w:t>3.资金使用合规性</w:t>
      </w:r>
    </w:p>
    <w:p>
      <w:pPr>
        <w:bidi w:val="0"/>
        <w:rPr>
          <w:rFonts w:hint="eastAsia"/>
          <w:lang w:eastAsia="zh-CN"/>
        </w:rPr>
      </w:pPr>
      <w:r>
        <w:rPr>
          <w:rFonts w:hint="eastAsia"/>
          <w:lang w:eastAsia="zh-CN"/>
        </w:rPr>
        <w:t>①符合《行政事业单位会计准则》、《财政票据管理办法》等有关规定；</w:t>
      </w:r>
    </w:p>
    <w:p>
      <w:pPr>
        <w:bidi w:val="0"/>
        <w:rPr>
          <w:rFonts w:hint="eastAsia"/>
          <w:lang w:eastAsia="zh-CN"/>
        </w:rPr>
      </w:pPr>
      <w:r>
        <w:rPr>
          <w:rFonts w:hint="eastAsia"/>
          <w:lang w:eastAsia="zh-CN"/>
        </w:rPr>
        <w:t>②资金的拨付有完整的审批程序和手续；</w:t>
      </w:r>
    </w:p>
    <w:p>
      <w:pPr>
        <w:bidi w:val="0"/>
        <w:rPr>
          <w:rFonts w:hint="eastAsia"/>
          <w:lang w:eastAsia="zh-CN"/>
        </w:rPr>
      </w:pPr>
      <w:r>
        <w:rPr>
          <w:rFonts w:hint="eastAsia"/>
          <w:lang w:eastAsia="zh-CN"/>
        </w:rPr>
        <w:t>③符合项目预算批复或合同规定的用途；</w:t>
      </w:r>
    </w:p>
    <w:p>
      <w:pPr>
        <w:bidi w:val="0"/>
        <w:rPr>
          <w:rFonts w:hint="eastAsia"/>
          <w:lang w:eastAsia="zh-CN"/>
        </w:rPr>
      </w:pPr>
      <w:r>
        <w:rPr>
          <w:rFonts w:hint="eastAsia"/>
          <w:lang w:eastAsia="zh-CN"/>
        </w:rPr>
        <w:t>④</w:t>
      </w:r>
      <w:r>
        <w:rPr>
          <w:rFonts w:hint="eastAsia"/>
          <w:lang w:val="en-US" w:eastAsia="zh-CN"/>
        </w:rPr>
        <w:t>不</w:t>
      </w:r>
      <w:r>
        <w:rPr>
          <w:rFonts w:hint="eastAsia"/>
          <w:lang w:eastAsia="zh-CN"/>
        </w:rPr>
        <w:t>存在截留、挤占、挪用、虚列支出等情况。</w:t>
      </w:r>
    </w:p>
    <w:p>
      <w:pPr>
        <w:bidi w:val="0"/>
        <w:rPr>
          <w:rFonts w:hint="eastAsia"/>
          <w:b/>
          <w:bCs/>
          <w:lang w:val="en-US" w:eastAsia="zh-CN"/>
        </w:rPr>
      </w:pPr>
      <w:r>
        <w:rPr>
          <w:rFonts w:hint="eastAsia"/>
          <w:b/>
          <w:bCs/>
          <w:lang w:val="en-US" w:eastAsia="zh-CN"/>
        </w:rPr>
        <w:t>综上，该项指标满分4分，得分4分。</w:t>
      </w:r>
    </w:p>
    <w:p>
      <w:pPr>
        <w:numPr>
          <w:ilvl w:val="0"/>
          <w:numId w:val="4"/>
        </w:numPr>
        <w:bidi w:val="0"/>
        <w:ind w:left="0" w:leftChars="0" w:firstLine="562" w:firstLineChars="200"/>
        <w:rPr>
          <w:rFonts w:hint="eastAsia"/>
          <w:b/>
          <w:bCs/>
          <w:lang w:val="en-US" w:eastAsia="zh-CN"/>
        </w:rPr>
      </w:pPr>
      <w:r>
        <w:rPr>
          <w:rFonts w:hint="eastAsia"/>
          <w:b/>
          <w:bCs/>
          <w:lang w:val="en-US" w:eastAsia="zh-CN"/>
        </w:rPr>
        <w:t>管理制度健全性</w:t>
      </w:r>
    </w:p>
    <w:p>
      <w:pPr>
        <w:numPr>
          <w:ilvl w:val="0"/>
          <w:numId w:val="0"/>
        </w:numPr>
        <w:bidi w:val="0"/>
        <w:ind w:leftChars="200"/>
        <w:rPr>
          <w:rFonts w:hint="eastAsia"/>
          <w:lang w:eastAsia="zh-CN"/>
        </w:rPr>
      </w:pPr>
      <w:r>
        <w:rPr>
          <w:rFonts w:hint="eastAsia"/>
          <w:lang w:eastAsia="zh-CN"/>
        </w:rPr>
        <w:t>①已制定《阜康市文化体育广播电视和旅游局财务管理制度》和《阜康市文化体育广播电视和旅游局业务管理制度》；</w:t>
      </w:r>
    </w:p>
    <w:p>
      <w:pPr>
        <w:bidi w:val="0"/>
        <w:rPr>
          <w:rFonts w:hint="eastAsia"/>
          <w:lang w:eastAsia="zh-CN"/>
        </w:rPr>
      </w:pPr>
      <w:r>
        <w:rPr>
          <w:rFonts w:hint="eastAsia"/>
          <w:lang w:eastAsia="zh-CN"/>
        </w:rPr>
        <w:t>②财务和业务管理制度合法、合规、完整。</w:t>
      </w:r>
    </w:p>
    <w:p>
      <w:pPr>
        <w:bidi w:val="0"/>
        <w:rPr>
          <w:rFonts w:hint="eastAsia"/>
          <w:lang w:eastAsia="zh-CN"/>
        </w:rPr>
      </w:pPr>
      <w:r>
        <w:rPr>
          <w:rFonts w:hint="eastAsia"/>
          <w:b/>
          <w:bCs/>
          <w:lang w:val="en-US" w:eastAsia="zh-CN"/>
        </w:rPr>
        <w:t>综上，该项指标满分4分，得分4分。</w:t>
      </w:r>
    </w:p>
    <w:p>
      <w:pPr>
        <w:bidi w:val="0"/>
        <w:ind w:left="1403" w:leftChars="200" w:hanging="843" w:hangingChars="300"/>
        <w:rPr>
          <w:rFonts w:hint="eastAsia"/>
          <w:b/>
          <w:bCs/>
          <w:lang w:val="en-US" w:eastAsia="zh-CN"/>
        </w:rPr>
      </w:pPr>
      <w:r>
        <w:rPr>
          <w:rFonts w:hint="eastAsia"/>
          <w:b/>
          <w:bCs/>
          <w:lang w:val="en-US" w:eastAsia="zh-CN"/>
        </w:rPr>
        <w:t>5.制度执行有效性</w:t>
      </w:r>
    </w:p>
    <w:p>
      <w:pPr>
        <w:bidi w:val="0"/>
        <w:rPr>
          <w:rFonts w:hint="eastAsia"/>
          <w:lang w:eastAsia="zh-CN"/>
        </w:rPr>
      </w:pPr>
      <w:r>
        <w:rPr>
          <w:rFonts w:hint="eastAsia"/>
          <w:lang w:eastAsia="zh-CN"/>
        </w:rPr>
        <w:t>①遵守相关法律法规和相关管理规定；</w:t>
      </w:r>
    </w:p>
    <w:p>
      <w:pPr>
        <w:bidi w:val="0"/>
        <w:rPr>
          <w:rFonts w:hint="eastAsia"/>
          <w:lang w:eastAsia="zh-CN"/>
        </w:rPr>
      </w:pPr>
      <w:r>
        <w:rPr>
          <w:rFonts w:hint="eastAsia"/>
          <w:lang w:eastAsia="zh-CN"/>
        </w:rPr>
        <w:t>②项目调整及支出调整手续完备；</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CN"/>
        </w:rPr>
      </w:pPr>
      <w:r>
        <w:rPr>
          <w:rFonts w:hint="eastAsia" w:ascii="宋体" w:hAnsi="宋体" w:eastAsia="宋体" w:cs="宋体"/>
          <w:color w:val="auto"/>
          <w:kern w:val="2"/>
          <w:highlight w:val="none"/>
          <w:u w:color="000000"/>
          <w:shd w:val="clear" w:color="auto" w:fill="auto"/>
          <w:lang w:val="zh-TW" w:eastAsia="zh-CN"/>
        </w:rPr>
        <w:t>③文体中心项目合同书、文体中心项目验收报告、文体中心项目技术鉴定；文博中心弱电文物安防系统合同书、文博中心弱电文物安防系统验收报告、文博中心弱电文物安防系统技术鉴定等资料齐全并及时归档；</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CN"/>
        </w:rPr>
      </w:pPr>
      <w:r>
        <w:rPr>
          <w:rFonts w:hint="eastAsia" w:ascii="宋体" w:hAnsi="宋体" w:eastAsia="宋体" w:cs="宋体"/>
          <w:color w:val="auto"/>
          <w:kern w:val="2"/>
          <w:highlight w:val="none"/>
          <w:u w:color="000000"/>
          <w:shd w:val="clear" w:color="auto" w:fill="auto"/>
          <w:lang w:val="zh-TW" w:eastAsia="zh-CN"/>
        </w:rPr>
        <w:t>④项目实施的阜康市文化体育广播电视和旅游局项目专干、文体中心、文博中心场地、信息支撑等落实到位。</w:t>
      </w:r>
    </w:p>
    <w:p>
      <w:pPr>
        <w:bidi w:val="0"/>
        <w:rPr>
          <w:rFonts w:hint="eastAsia"/>
          <w:lang w:eastAsia="zh-CN"/>
        </w:rPr>
      </w:pPr>
      <w:r>
        <w:rPr>
          <w:rFonts w:hint="eastAsia"/>
          <w:b/>
          <w:bCs/>
          <w:lang w:val="en-US" w:eastAsia="zh-CN"/>
        </w:rPr>
        <w:t>综上，该项指标满分4分，得分4分。</w:t>
      </w:r>
    </w:p>
    <w:p>
      <w:pPr>
        <w:pStyle w:val="2"/>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kern w:val="2"/>
          <w:highlight w:val="none"/>
          <w:u w:color="000000"/>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14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FF0000"/>
          <w:kern w:val="0"/>
          <w:sz w:val="28"/>
          <w:szCs w:val="28"/>
          <w:highlight w:val="none"/>
          <w:shd w:val="clear" w:color="auto" w:fill="auto"/>
          <w:lang w:val="en-US" w:eastAsia="zh-CN"/>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35"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shd w:val="clear" w:color="auto" w:fill="auto"/>
          <w:tblCellMar>
            <w:top w:w="0" w:type="dxa"/>
            <w:left w:w="0" w:type="dxa"/>
            <w:bottom w:w="0" w:type="dxa"/>
            <w:right w:w="0" w:type="dxa"/>
          </w:tblCellMar>
        </w:tblPrEx>
        <w:trPr>
          <w:trHeight w:val="259"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偿还欠款企业数量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偿还资金发放完成率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40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资金规范管理使用率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资金发放完成时间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2022-9-30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2022-9-30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南京华典建筑装饰工程有限公司-文体中心外墙面装饰项目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≤61.62万元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61.62万元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新疆天正工程建设项目管理有限公司阜康分公司-文体中心项目监理费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≤15.82万元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15.82万元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新疆天正工程建设项目管理有限公司阜康分公司-文体中心项目监理费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≤33.16万元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33.16万元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新疆天正工程建设项目管理有限公司阜康分公司-文体中心外墙面装修监理费</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≤43.69万元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43.69万元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新疆天正工程建设项目管理有限公司阜康分公司-博物馆展厅深化设计布展</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新疆建业建设项目管理有限公司-文体中心室内装修招标代理费3</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≤2.16万元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2.16万元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333"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新疆金方正科技有限公司-文博中心弱电文物安防系统</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≤46.64万元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46.64万元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新疆建业建设项目管理有限公司-文体中心室内装修招标代理费1</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≤2.24万元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2.24万元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新疆建业建设项目管理有限公司-文体中心室内装修招标代理费2</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≤3.77万元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3.77万元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r>
    </w:tbl>
    <w:p>
      <w:pPr>
        <w:numPr>
          <w:ilvl w:val="0"/>
          <w:numId w:val="5"/>
        </w:numPr>
        <w:bidi w:val="0"/>
        <w:rPr>
          <w:rFonts w:hint="eastAsia"/>
          <w:b/>
          <w:bCs/>
          <w:lang w:val="en-US" w:eastAsia="zh-CN"/>
        </w:rPr>
      </w:pPr>
      <w:r>
        <w:rPr>
          <w:rFonts w:hint="eastAsia"/>
          <w:b/>
          <w:bCs/>
          <w:lang w:val="en-US" w:eastAsia="zh-CN"/>
        </w:rPr>
        <w:t>项目完成数量</w:t>
      </w:r>
    </w:p>
    <w:p>
      <w:pPr>
        <w:bidi w:val="0"/>
        <w:rPr>
          <w:rFonts w:hint="default"/>
          <w:lang w:val="en-US" w:eastAsia="zh-CN"/>
        </w:rPr>
      </w:pPr>
      <w:r>
        <w:rPr>
          <w:rFonts w:hint="eastAsia"/>
          <w:lang w:val="en-US" w:eastAsia="zh-CN"/>
        </w:rPr>
        <w:t>“偿还欠款企业数量”指标，预期指标值为9个，实际完成为9个。实际完成率=（9/9）×100%=100%。</w:t>
      </w:r>
    </w:p>
    <w:p>
      <w:pPr>
        <w:bidi w:val="0"/>
        <w:rPr>
          <w:rFonts w:hint="eastAsia"/>
          <w:b/>
          <w:bCs/>
          <w:lang w:val="en-US" w:eastAsia="zh-CN"/>
        </w:rPr>
      </w:pPr>
      <w:r>
        <w:rPr>
          <w:rFonts w:hint="eastAsia"/>
          <w:b/>
          <w:bCs/>
          <w:lang w:val="en-US" w:eastAsia="zh-CN"/>
        </w:rPr>
        <w:t>综上，该项指标满分3分，得分3分。</w:t>
      </w:r>
    </w:p>
    <w:p>
      <w:pPr>
        <w:numPr>
          <w:ilvl w:val="0"/>
          <w:numId w:val="5"/>
        </w:numPr>
        <w:bidi w:val="0"/>
        <w:ind w:left="0" w:leftChars="0" w:firstLine="562" w:firstLineChars="200"/>
        <w:rPr>
          <w:rFonts w:hint="eastAsia"/>
          <w:b/>
          <w:bCs/>
          <w:lang w:val="en-US" w:eastAsia="zh-CN"/>
        </w:rPr>
      </w:pPr>
      <w:r>
        <w:rPr>
          <w:rFonts w:hint="eastAsia"/>
          <w:b/>
          <w:bCs/>
          <w:lang w:val="en-US" w:eastAsia="zh-CN"/>
        </w:rPr>
        <w:t>项目完成质量</w:t>
      </w:r>
    </w:p>
    <w:p>
      <w:pPr>
        <w:numPr>
          <w:ilvl w:val="0"/>
          <w:numId w:val="0"/>
        </w:numPr>
        <w:bidi w:val="0"/>
        <w:ind w:leftChars="200"/>
        <w:rPr>
          <w:rFonts w:hint="eastAsia"/>
          <w:lang w:val="en-US" w:eastAsia="zh-CN"/>
        </w:rPr>
      </w:pPr>
      <w:r>
        <w:rPr>
          <w:rFonts w:hint="eastAsia"/>
          <w:lang w:val="en-US" w:eastAsia="zh-CN"/>
        </w:rPr>
        <w:t>“偿还资金发放完成率”指标，预期指标值为100%，实际完成为100%。</w:t>
      </w:r>
    </w:p>
    <w:p>
      <w:pPr>
        <w:numPr>
          <w:ilvl w:val="0"/>
          <w:numId w:val="0"/>
        </w:numPr>
        <w:bidi w:val="0"/>
        <w:ind w:leftChars="200"/>
        <w:rPr>
          <w:rFonts w:hint="eastAsia"/>
          <w:lang w:val="en-US" w:eastAsia="zh-CN"/>
        </w:rPr>
      </w:pPr>
      <w:r>
        <w:rPr>
          <w:rFonts w:hint="eastAsia"/>
          <w:lang w:val="en-US" w:eastAsia="zh-CN"/>
        </w:rPr>
        <w:t>“资金规范管理使用率”指标，预期指标值为100%，实际完成为100%。</w:t>
      </w:r>
    </w:p>
    <w:p>
      <w:pPr>
        <w:bidi w:val="0"/>
        <w:rPr>
          <w:rFonts w:hint="eastAsia"/>
          <w:b/>
          <w:bCs/>
          <w:lang w:val="en-US" w:eastAsia="zh-CN"/>
        </w:rPr>
      </w:pPr>
      <w:r>
        <w:rPr>
          <w:rFonts w:hint="eastAsia"/>
          <w:b/>
          <w:bCs/>
          <w:lang w:val="en-US" w:eastAsia="zh-CN"/>
        </w:rPr>
        <w:t>综上，该项指标满分4分，得分4分。</w:t>
      </w:r>
    </w:p>
    <w:p>
      <w:pPr>
        <w:numPr>
          <w:ilvl w:val="0"/>
          <w:numId w:val="5"/>
        </w:numPr>
        <w:bidi w:val="0"/>
        <w:ind w:left="0" w:leftChars="0" w:firstLine="562" w:firstLineChars="200"/>
        <w:rPr>
          <w:rFonts w:hint="eastAsia"/>
          <w:b/>
          <w:bCs/>
          <w:lang w:val="en-US" w:eastAsia="zh-CN"/>
        </w:rPr>
      </w:pPr>
      <w:r>
        <w:rPr>
          <w:rFonts w:hint="eastAsia"/>
          <w:b/>
          <w:bCs/>
          <w:lang w:val="en-US" w:eastAsia="zh-CN"/>
        </w:rPr>
        <w:t>项目完成时效</w:t>
      </w:r>
    </w:p>
    <w:p>
      <w:pPr>
        <w:numPr>
          <w:ilvl w:val="0"/>
          <w:numId w:val="0"/>
        </w:numPr>
        <w:bidi w:val="0"/>
        <w:ind w:leftChars="200"/>
        <w:rPr>
          <w:rFonts w:hint="eastAsia"/>
          <w:lang w:val="en-US" w:eastAsia="zh-CN"/>
        </w:rPr>
      </w:pPr>
      <w:r>
        <w:rPr>
          <w:rFonts w:hint="eastAsia"/>
          <w:lang w:val="en-US" w:eastAsia="zh-CN"/>
        </w:rPr>
        <w:t>“资金发放完成时间”指标，预期指标值为2022-9-30，实际完成为2022-9-30。</w:t>
      </w:r>
    </w:p>
    <w:p>
      <w:pPr>
        <w:numPr>
          <w:ilvl w:val="0"/>
          <w:numId w:val="0"/>
        </w:numPr>
        <w:bidi w:val="0"/>
        <w:ind w:leftChars="200"/>
        <w:rPr>
          <w:rFonts w:hint="eastAsia"/>
          <w:lang w:val="en-US" w:eastAsia="zh-CN"/>
        </w:rPr>
      </w:pPr>
      <w:r>
        <w:rPr>
          <w:rFonts w:hint="eastAsia"/>
          <w:lang w:val="en-US" w:eastAsia="zh-CN"/>
        </w:rPr>
        <w:t>“资金使用及时率”指标，预期指标值为100%，实际完成为100%。</w:t>
      </w:r>
    </w:p>
    <w:p>
      <w:pPr>
        <w:bidi w:val="0"/>
        <w:rPr>
          <w:rFonts w:hint="eastAsia"/>
          <w:lang w:eastAsia="zh-CN"/>
        </w:rPr>
      </w:pPr>
      <w:r>
        <w:rPr>
          <w:rFonts w:hint="eastAsia"/>
          <w:b/>
          <w:bCs/>
          <w:lang w:val="en-US" w:eastAsia="zh-CN"/>
        </w:rPr>
        <w:t>综上，该项指标满分5分，得分5分。</w:t>
      </w:r>
    </w:p>
    <w:p>
      <w:pPr>
        <w:numPr>
          <w:ilvl w:val="0"/>
          <w:numId w:val="5"/>
        </w:numPr>
        <w:bidi w:val="0"/>
        <w:ind w:left="0" w:leftChars="0" w:firstLine="562" w:firstLineChars="200"/>
        <w:rPr>
          <w:rFonts w:hint="eastAsia"/>
          <w:b/>
          <w:bCs/>
          <w:lang w:val="en-US" w:eastAsia="zh-CN"/>
        </w:rPr>
      </w:pPr>
      <w:r>
        <w:rPr>
          <w:rFonts w:hint="eastAsia"/>
          <w:b/>
          <w:bCs/>
          <w:lang w:val="en-US" w:eastAsia="zh-CN"/>
        </w:rPr>
        <w:t>项目完成成本</w:t>
      </w:r>
    </w:p>
    <w:p>
      <w:pPr>
        <w:numPr>
          <w:ilvl w:val="0"/>
          <w:numId w:val="0"/>
        </w:numPr>
        <w:bidi w:val="0"/>
        <w:ind w:leftChars="200"/>
        <w:rPr>
          <w:rFonts w:hint="eastAsia"/>
          <w:lang w:val="en-US" w:eastAsia="zh-CN"/>
        </w:rPr>
      </w:pPr>
      <w:r>
        <w:rPr>
          <w:rFonts w:hint="eastAsia"/>
          <w:lang w:val="en-US" w:eastAsia="zh-CN"/>
        </w:rPr>
        <w:t>“南京华典建筑装饰工程有限公司-文体中心外墙面装饰项目”指标，预期指标值为≤61.62万元，实际完成为61.62万元。实际完成率=（61.62/61.62）×100%=100%。</w:t>
      </w:r>
    </w:p>
    <w:p>
      <w:pPr>
        <w:numPr>
          <w:ilvl w:val="0"/>
          <w:numId w:val="0"/>
        </w:numPr>
        <w:bidi w:val="0"/>
        <w:ind w:leftChars="200"/>
        <w:rPr>
          <w:rFonts w:hint="eastAsia"/>
          <w:lang w:val="en-US" w:eastAsia="zh-CN"/>
        </w:rPr>
      </w:pPr>
      <w:r>
        <w:rPr>
          <w:rFonts w:hint="eastAsia"/>
          <w:lang w:val="en-US" w:eastAsia="zh-CN"/>
        </w:rPr>
        <w:t>“新疆天正工程建设项目管理有限公司阜康分公司-文体中心项目监理费”指标，预期指标值为≤15.82万元，实际完成为15.82万元。实际完成率=（15.82/15.82）×100%=100%。</w:t>
      </w:r>
    </w:p>
    <w:p>
      <w:pPr>
        <w:numPr>
          <w:ilvl w:val="0"/>
          <w:numId w:val="0"/>
        </w:numPr>
        <w:bidi w:val="0"/>
        <w:ind w:leftChars="200"/>
        <w:rPr>
          <w:rFonts w:hint="eastAsia"/>
          <w:lang w:val="en-US" w:eastAsia="zh-CN"/>
        </w:rPr>
      </w:pPr>
      <w:r>
        <w:rPr>
          <w:rFonts w:hint="eastAsia"/>
          <w:lang w:val="en-US" w:eastAsia="zh-CN"/>
        </w:rPr>
        <w:t>“新疆天正工程建设项目管理有限公司阜康分公司-文体中心项目监理费”指标，预期指标值为≤33.16万元，实际完成为33.16万元。实际完成率=（33.16/33.16）×100%=100%。</w:t>
      </w:r>
    </w:p>
    <w:p>
      <w:pPr>
        <w:numPr>
          <w:ilvl w:val="0"/>
          <w:numId w:val="0"/>
        </w:numPr>
        <w:bidi w:val="0"/>
        <w:ind w:leftChars="200"/>
        <w:rPr>
          <w:rFonts w:hint="eastAsia"/>
          <w:lang w:val="en-US" w:eastAsia="zh-CN"/>
        </w:rPr>
      </w:pPr>
      <w:r>
        <w:rPr>
          <w:rFonts w:hint="eastAsia"/>
          <w:lang w:val="en-US" w:eastAsia="zh-CN"/>
        </w:rPr>
        <w:t>“新疆天正工程建设项目管理有限公司阜康分公司-文体中心外墙面装修监理费”指标，预期指标值为≤43.69万元，实际完成为43.69万元。实际完成率=（43.69/43.69）×100%=100%。</w:t>
      </w:r>
    </w:p>
    <w:p>
      <w:pPr>
        <w:numPr>
          <w:ilvl w:val="0"/>
          <w:numId w:val="0"/>
        </w:numPr>
        <w:bidi w:val="0"/>
        <w:ind w:leftChars="200"/>
        <w:rPr>
          <w:rFonts w:hint="eastAsia"/>
          <w:lang w:val="en-US" w:eastAsia="zh-CN"/>
        </w:rPr>
      </w:pPr>
      <w:r>
        <w:rPr>
          <w:rFonts w:hint="eastAsia"/>
          <w:lang w:val="en-US" w:eastAsia="zh-CN"/>
        </w:rPr>
        <w:t>“新疆天正工程建设项目管理有限公司阜康分公司-博物馆展厅深化设计布展”指标，预期指标值为≤5万元，实际完成为5万元。实际完成率=（5/5）×100%=100%。</w:t>
      </w:r>
    </w:p>
    <w:p>
      <w:pPr>
        <w:numPr>
          <w:ilvl w:val="0"/>
          <w:numId w:val="0"/>
        </w:numPr>
        <w:bidi w:val="0"/>
        <w:ind w:leftChars="200"/>
        <w:rPr>
          <w:rFonts w:hint="eastAsia"/>
          <w:lang w:val="en-US" w:eastAsia="zh-CN"/>
        </w:rPr>
      </w:pPr>
      <w:r>
        <w:rPr>
          <w:rFonts w:hint="eastAsia"/>
          <w:lang w:val="en-US" w:eastAsia="zh-CN"/>
        </w:rPr>
        <w:t>“新疆建业建设项目管理有限公司-文体中心室内装修招标代理费3”指标，预期指标值为≤2.16万元，实际完成为2.16万元。实际完成率=（2.16/2.16）×100%=100%。</w:t>
      </w:r>
    </w:p>
    <w:p>
      <w:pPr>
        <w:numPr>
          <w:ilvl w:val="0"/>
          <w:numId w:val="0"/>
        </w:numPr>
        <w:bidi w:val="0"/>
        <w:ind w:leftChars="200"/>
        <w:rPr>
          <w:rFonts w:hint="eastAsia"/>
          <w:lang w:val="en-US" w:eastAsia="zh-CN"/>
        </w:rPr>
      </w:pPr>
      <w:r>
        <w:rPr>
          <w:rFonts w:hint="eastAsia"/>
          <w:lang w:val="en-US" w:eastAsia="zh-CN"/>
        </w:rPr>
        <w:t>“新疆金方正科技有限公司-文博中心弱电文物安防系统”指标，预期指标值为≤46.64万元，实际完成为46.64万元。实际完成率=（46.64/46.64）×100%=100%。</w:t>
      </w:r>
    </w:p>
    <w:p>
      <w:pPr>
        <w:numPr>
          <w:ilvl w:val="0"/>
          <w:numId w:val="0"/>
        </w:numPr>
        <w:bidi w:val="0"/>
        <w:ind w:leftChars="200"/>
        <w:rPr>
          <w:rFonts w:hint="eastAsia"/>
          <w:lang w:val="en-US" w:eastAsia="zh-CN"/>
        </w:rPr>
      </w:pPr>
      <w:r>
        <w:rPr>
          <w:rFonts w:hint="eastAsia"/>
          <w:lang w:val="en-US" w:eastAsia="zh-CN"/>
        </w:rPr>
        <w:t>“新疆建业建设项目管理有限公司-文体中心室内装修招标代理费1”指标，预期指标值为≤2.24万元，实际完成为2.24万元。实际完成率=（2.24/2.24）×100%=100%。</w:t>
      </w:r>
    </w:p>
    <w:p>
      <w:pPr>
        <w:numPr>
          <w:ilvl w:val="0"/>
          <w:numId w:val="0"/>
        </w:numPr>
        <w:bidi w:val="0"/>
        <w:ind w:leftChars="200"/>
        <w:rPr>
          <w:rFonts w:hint="eastAsia"/>
          <w:lang w:val="en-US" w:eastAsia="zh-CN"/>
        </w:rPr>
      </w:pPr>
      <w:r>
        <w:rPr>
          <w:rFonts w:hint="eastAsia"/>
          <w:lang w:val="en-US" w:eastAsia="zh-CN"/>
        </w:rPr>
        <w:t>“新疆建业建设项目管理有限公司-文体中心室内装修招标代理费2”指标，预期指标值为≤3.77万元，实际完成为3.77万元。实际完成率=（3.77/3.77）×100%=100%。</w:t>
      </w:r>
    </w:p>
    <w:p>
      <w:pPr>
        <w:numPr>
          <w:ilvl w:val="0"/>
          <w:numId w:val="0"/>
        </w:numPr>
        <w:bidi w:val="0"/>
        <w:ind w:leftChars="200"/>
        <w:rPr>
          <w:rFonts w:hint="eastAsia"/>
          <w:lang w:val="en-US" w:eastAsia="zh-CN"/>
        </w:rPr>
      </w:pPr>
      <w:r>
        <w:rPr>
          <w:rFonts w:hint="eastAsia"/>
          <w:lang w:val="en-US" w:eastAsia="zh-CN"/>
        </w:rPr>
        <w:t>综上，该项指标满分18分，得分18分。</w:t>
      </w:r>
    </w:p>
    <w:p>
      <w:pPr>
        <w:pStyle w:val="2"/>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四</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项目效益情况</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2"/>
          <w:highlight w:val="none"/>
          <w:u w:color="000000"/>
          <w:shd w:val="clear" w:color="auto" w:fill="auto"/>
          <w:lang w:val="zh-TW" w:eastAsia="zh-CN"/>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kern w:val="2"/>
          <w:highlight w:val="none"/>
          <w:u w:color="000000"/>
          <w:shd w:val="clear" w:color="auto" w:fill="auto"/>
          <w:lang w:val="zh-TW" w:eastAsia="zh-CN"/>
        </w:rPr>
        <w:t>效益</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9"/>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提升企业经济发展</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暂缓部分企业因不可控因素经济困难问题</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30</w:t>
            </w:r>
          </w:p>
        </w:tc>
      </w:tr>
    </w:tbl>
    <w:p>
      <w:pPr>
        <w:numPr>
          <w:ilvl w:val="0"/>
          <w:numId w:val="6"/>
        </w:numPr>
        <w:bidi w:val="0"/>
        <w:rPr>
          <w:rFonts w:hint="eastAsia"/>
          <w:b/>
          <w:bCs/>
          <w:lang w:val="en-US" w:eastAsia="zh-CN"/>
        </w:rPr>
      </w:pPr>
      <w:r>
        <w:rPr>
          <w:rFonts w:hint="eastAsia"/>
          <w:b/>
          <w:bCs/>
          <w:lang w:val="en-US" w:eastAsia="zh-CN"/>
        </w:rPr>
        <w:t>经济效益指标</w:t>
      </w:r>
    </w:p>
    <w:p>
      <w:pPr>
        <w:numPr>
          <w:ilvl w:val="0"/>
          <w:numId w:val="0"/>
        </w:numPr>
        <w:bidi w:val="0"/>
        <w:ind w:firstLine="560" w:firstLineChars="200"/>
        <w:rPr>
          <w:rFonts w:hint="eastAsia"/>
          <w:lang w:val="en-US" w:eastAsia="zh-CN"/>
        </w:rPr>
      </w:pPr>
      <w:r>
        <w:rPr>
          <w:rFonts w:hint="eastAsia"/>
          <w:lang w:val="en-US" w:eastAsia="zh-CN"/>
        </w:rPr>
        <w:t>“</w:t>
      </w:r>
      <w:r>
        <w:rPr>
          <w:rFonts w:hint="default"/>
          <w:lang w:val="en-US" w:eastAsia="zh-CN"/>
        </w:rPr>
        <w:t>提升企业经济发展</w:t>
      </w:r>
      <w:r>
        <w:rPr>
          <w:rFonts w:hint="eastAsia"/>
          <w:lang w:val="en-US" w:eastAsia="zh-CN"/>
        </w:rPr>
        <w:t>”指标，预期指标值为提升，实际完成为100%。</w:t>
      </w:r>
    </w:p>
    <w:p>
      <w:pPr>
        <w:bidi w:val="0"/>
        <w:rPr>
          <w:rFonts w:hint="default"/>
          <w:b w:val="0"/>
          <w:bCs w:val="0"/>
          <w:lang w:val="en-US" w:eastAsia="zh-CN"/>
        </w:rPr>
      </w:pPr>
      <w:r>
        <w:rPr>
          <w:rFonts w:hint="eastAsia"/>
          <w:b w:val="0"/>
          <w:bCs w:val="0"/>
          <w:lang w:val="en-US" w:eastAsia="zh-CN"/>
        </w:rPr>
        <w:t>通过项目的实施，提升了企业的经济发展。</w:t>
      </w:r>
    </w:p>
    <w:p>
      <w:pPr>
        <w:bidi w:val="0"/>
        <w:rPr>
          <w:rFonts w:hint="eastAsia"/>
          <w:lang w:val="en-US" w:eastAsia="zh-CN"/>
        </w:rPr>
      </w:pPr>
      <w:r>
        <w:rPr>
          <w:rFonts w:hint="eastAsia"/>
          <w:b/>
          <w:bCs/>
          <w:lang w:val="en-US" w:eastAsia="zh-CN"/>
        </w:rPr>
        <w:t>综上，该项指标满分10分，得分10分。</w:t>
      </w:r>
    </w:p>
    <w:p>
      <w:pPr>
        <w:numPr>
          <w:ilvl w:val="0"/>
          <w:numId w:val="6"/>
        </w:numPr>
        <w:bidi w:val="0"/>
        <w:ind w:left="0" w:leftChars="0" w:firstLine="562" w:firstLineChars="200"/>
        <w:rPr>
          <w:rFonts w:hint="eastAsia"/>
          <w:b/>
          <w:bCs/>
          <w:lang w:val="en-US" w:eastAsia="zh-CN"/>
        </w:rPr>
      </w:pPr>
      <w:r>
        <w:rPr>
          <w:rFonts w:hint="eastAsia"/>
          <w:b/>
          <w:bCs/>
          <w:lang w:val="en-US" w:eastAsia="zh-CN"/>
        </w:rPr>
        <w:t>可持续影响指标</w:t>
      </w:r>
    </w:p>
    <w:p>
      <w:pPr>
        <w:numPr>
          <w:ilvl w:val="0"/>
          <w:numId w:val="0"/>
        </w:numPr>
        <w:bidi w:val="0"/>
        <w:ind w:leftChars="200"/>
        <w:rPr>
          <w:rFonts w:hint="eastAsia"/>
          <w:lang w:val="en-US" w:eastAsia="zh-CN"/>
        </w:rPr>
      </w:pPr>
      <w:r>
        <w:rPr>
          <w:rFonts w:hint="eastAsia"/>
          <w:lang w:val="en-US" w:eastAsia="zh-CN"/>
        </w:rPr>
        <w:t>“暂缓部分企业因不可控因素经济困难问题”指标，预期指标值为长期，实际完成为100%。</w:t>
      </w:r>
    </w:p>
    <w:p>
      <w:pPr>
        <w:bidi w:val="0"/>
        <w:rPr>
          <w:rFonts w:hint="eastAsia"/>
          <w:lang w:val="en-US" w:eastAsia="zh-CN"/>
        </w:rPr>
      </w:pPr>
      <w:r>
        <w:rPr>
          <w:rFonts w:hint="eastAsia"/>
          <w:b w:val="0"/>
          <w:bCs w:val="0"/>
          <w:lang w:val="en-US" w:eastAsia="zh-CN"/>
        </w:rPr>
        <w:t>通过项目的实施，有效缓解了企业不可控因素经济困难的问题。</w:t>
      </w:r>
    </w:p>
    <w:p>
      <w:pPr>
        <w:bidi w:val="0"/>
        <w:rPr>
          <w:rFonts w:hint="eastAsia"/>
          <w:lang w:val="en-US" w:eastAsia="zh-CN"/>
        </w:rPr>
      </w:pPr>
      <w:r>
        <w:rPr>
          <w:rFonts w:hint="eastAsia"/>
          <w:b/>
          <w:bCs/>
          <w:lang w:val="en-US" w:eastAsia="zh-CN"/>
        </w:rPr>
        <w:t>综上，该项指标满分10分，得分10分。</w:t>
      </w:r>
    </w:p>
    <w:p>
      <w:pPr>
        <w:bidi w:val="0"/>
        <w:rPr>
          <w:rFonts w:hint="eastAsia"/>
          <w:b/>
          <w:bCs/>
          <w:lang w:val="en-US" w:eastAsia="zh-CN"/>
        </w:rPr>
      </w:pPr>
      <w:r>
        <w:rPr>
          <w:rFonts w:hint="eastAsia"/>
          <w:b/>
          <w:bCs/>
          <w:lang w:val="en-US" w:eastAsia="zh-CN"/>
        </w:rPr>
        <w:t>5.满意度指标</w:t>
      </w:r>
    </w:p>
    <w:p>
      <w:pPr>
        <w:bidi w:val="0"/>
        <w:rPr>
          <w:rFonts w:hint="eastAsia"/>
          <w:lang w:val="en-US" w:eastAsia="zh-CN"/>
        </w:rPr>
      </w:pPr>
      <w:r>
        <w:rPr>
          <w:rFonts w:hint="eastAsia"/>
          <w:lang w:val="en-US" w:eastAsia="zh-CN"/>
        </w:rPr>
        <w:t>“</w:t>
      </w:r>
      <w:r>
        <w:rPr>
          <w:rFonts w:hint="default"/>
          <w:lang w:val="en-US" w:eastAsia="zh-CN"/>
        </w:rPr>
        <w:t>企业满意度</w:t>
      </w:r>
      <w:r>
        <w:rPr>
          <w:rFonts w:hint="eastAsia"/>
          <w:lang w:val="en-US" w:eastAsia="zh-CN"/>
        </w:rPr>
        <w:t>”指标，预期指标值为≥90%，实际完成为100%。</w:t>
      </w:r>
    </w:p>
    <w:p>
      <w:pPr>
        <w:bidi w:val="0"/>
        <w:rPr>
          <w:rFonts w:hint="eastAsia"/>
          <w:b/>
          <w:bCs/>
          <w:lang w:val="en-US" w:eastAsia="zh-CN"/>
        </w:rPr>
      </w:pPr>
      <w:r>
        <w:rPr>
          <w:rFonts w:hint="eastAsia"/>
          <w:b/>
          <w:bCs/>
          <w:lang w:val="en-US" w:eastAsia="zh-CN"/>
        </w:rPr>
        <w:t>综上，该项指标满分10分，得分10分。</w:t>
      </w:r>
    </w:p>
    <w:p>
      <w:pPr>
        <w:pStyle w:val="2"/>
        <w:numPr>
          <w:ilvl w:val="0"/>
          <w:numId w:val="0"/>
        </w:numPr>
        <w:ind w:leftChars="200"/>
        <w:rPr>
          <w:rFonts w:hint="eastAsia" w:ascii="宋体" w:hAnsi="宋体" w:eastAsia="宋体" w:cs="宋体"/>
          <w:b/>
          <w:bCs/>
          <w:color w:val="000000" w:themeColor="text1"/>
          <w:kern w:val="44"/>
          <w:sz w:val="32"/>
          <w:szCs w:val="22"/>
          <w:highlight w:val="none"/>
          <w:shd w:val="clear" w:color="auto" w:fill="auto"/>
          <w:lang w:val="en-US" w:eastAsia="zh-CN" w:bidi="ar-SA"/>
          <w14:textFill>
            <w14:solidFill>
              <w14:schemeClr w14:val="tx1"/>
            </w14:solidFill>
          </w14:textFill>
        </w:rPr>
      </w:pPr>
      <w:r>
        <w:rPr>
          <w:rFonts w:hint="eastAsia" w:ascii="宋体" w:hAnsi="宋体" w:eastAsia="宋体" w:cs="宋体"/>
          <w:b/>
          <w:bCs/>
          <w:color w:val="000000" w:themeColor="text1"/>
          <w:kern w:val="44"/>
          <w:sz w:val="32"/>
          <w:szCs w:val="22"/>
          <w:highlight w:val="none"/>
          <w:shd w:val="clear" w:color="auto" w:fill="auto"/>
          <w:lang w:val="en-US" w:eastAsia="zh-CN" w:bidi="ar-SA"/>
          <w14:textFill>
            <w14:solidFill>
              <w14:schemeClr w14:val="tx1"/>
            </w14:solidFill>
          </w14:textFill>
        </w:rPr>
        <w:t>五、预算执行进度与指标偏差</w:t>
      </w:r>
    </w:p>
    <w:p>
      <w:pPr>
        <w:numPr>
          <w:ilvl w:val="0"/>
          <w:numId w:val="0"/>
        </w:numPr>
        <w:ind w:leftChars="200"/>
        <w:rPr>
          <w:rFonts w:hint="default"/>
          <w:lang w:val="en-US" w:eastAsia="zh-CN"/>
        </w:rPr>
      </w:pPr>
      <w:r>
        <w:rPr>
          <w:rFonts w:hint="eastAsia"/>
          <w:lang w:val="en-US" w:eastAsia="zh-CN"/>
        </w:rPr>
        <w:t>该项目预算资金总额为214.1万元，全年执行数为214.1万元，预算执行率为100%，总体完成率为100%。预算执行率与总体完成率之间的偏差为0%，无偏差。</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六、</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lang w:eastAsia="zh-CN"/>
        </w:rPr>
      </w:pPr>
      <w:bookmarkStart w:id="12" w:name="_Toc28290"/>
      <w:bookmarkStart w:id="13" w:name="_Toc1921"/>
      <w:r>
        <w:rPr>
          <w:rFonts w:hint="eastAsia"/>
          <w:b/>
          <w:bCs/>
          <w:lang w:eastAsia="zh-CN"/>
        </w:rPr>
        <w:t>（</w:t>
      </w:r>
      <w:r>
        <w:rPr>
          <w:rFonts w:hint="eastAsia"/>
          <w:b/>
          <w:bCs/>
          <w:lang w:val="en-US" w:eastAsia="zh-CN"/>
        </w:rPr>
        <w:t>一</w:t>
      </w:r>
      <w:r>
        <w:rPr>
          <w:rFonts w:hint="eastAsia"/>
          <w:b/>
          <w:bCs/>
          <w:lang w:eastAsia="zh-CN"/>
        </w:rPr>
        <w:t>）</w:t>
      </w:r>
      <w:r>
        <w:rPr>
          <w:rFonts w:hint="eastAsia"/>
          <w:b/>
          <w:bCs/>
        </w:rPr>
        <w:t>主要经验及做法</w:t>
      </w:r>
    </w:p>
    <w:p>
      <w:pPr>
        <w:bidi w:val="0"/>
        <w:rPr>
          <w:rFonts w:hint="eastAsia"/>
          <w:lang w:eastAsia="zh-CN"/>
        </w:rPr>
      </w:pPr>
      <w:r>
        <w:rPr>
          <w:rFonts w:hint="eastAsia"/>
          <w:lang w:val="en-US" w:eastAsia="zh-CN"/>
        </w:rPr>
        <w:t>九月化债第三批经费项目</w:t>
      </w:r>
      <w:r>
        <w:rPr>
          <w:rFonts w:hint="eastAsia"/>
          <w:lang w:eastAsia="zh-CN"/>
        </w:rPr>
        <w:t>20</w:t>
      </w:r>
      <w:r>
        <w:rPr>
          <w:rFonts w:hint="eastAsia"/>
          <w:lang w:val="en-US" w:eastAsia="zh-CN"/>
        </w:rPr>
        <w:t>22</w:t>
      </w:r>
      <w:r>
        <w:rPr>
          <w:rFonts w:hint="eastAsia"/>
          <w:lang w:eastAsia="zh-CN"/>
        </w:rPr>
        <w:t>年预算</w:t>
      </w:r>
      <w:r>
        <w:rPr>
          <w:rFonts w:hint="eastAsia"/>
          <w:lang w:val="en-US" w:eastAsia="zh-CN"/>
        </w:rPr>
        <w:t>数</w:t>
      </w:r>
      <w:r>
        <w:rPr>
          <w:rFonts w:hint="eastAsia"/>
          <w:lang w:eastAsia="zh-CN"/>
        </w:rPr>
        <w:t>为</w:t>
      </w:r>
      <w:r>
        <w:rPr>
          <w:rFonts w:hint="eastAsia"/>
          <w:lang w:val="en-US" w:eastAsia="zh-CN"/>
        </w:rPr>
        <w:t>214.1</w:t>
      </w:r>
      <w:r>
        <w:rPr>
          <w:rFonts w:hint="eastAsia"/>
          <w:lang w:eastAsia="zh-CN"/>
        </w:rPr>
        <w:t>万元，</w:t>
      </w:r>
      <w:r>
        <w:rPr>
          <w:rFonts w:hint="eastAsia"/>
          <w:lang w:val="en-US" w:eastAsia="zh-CN"/>
        </w:rPr>
        <w:t>截至2022年12月31日共</w:t>
      </w:r>
      <w:r>
        <w:rPr>
          <w:rFonts w:hint="eastAsia"/>
          <w:lang w:eastAsia="zh-CN"/>
        </w:rPr>
        <w:t>支出</w:t>
      </w:r>
      <w:r>
        <w:rPr>
          <w:rFonts w:hint="eastAsia"/>
          <w:lang w:val="en-US" w:eastAsia="zh-CN"/>
        </w:rPr>
        <w:t>214.1</w:t>
      </w:r>
      <w:r>
        <w:rPr>
          <w:rFonts w:hint="eastAsia"/>
          <w:lang w:eastAsia="zh-CN"/>
        </w:rPr>
        <w:t>万元，预算</w:t>
      </w:r>
      <w:r>
        <w:rPr>
          <w:rFonts w:hint="eastAsia"/>
          <w:lang w:val="en-US" w:eastAsia="zh-CN"/>
        </w:rPr>
        <w:t>执行</w:t>
      </w:r>
      <w:r>
        <w:rPr>
          <w:rFonts w:hint="eastAsia"/>
          <w:lang w:eastAsia="zh-CN"/>
        </w:rPr>
        <w:t>率为</w:t>
      </w:r>
      <w:r>
        <w:rPr>
          <w:rFonts w:hint="eastAsia"/>
          <w:lang w:val="en-US" w:eastAsia="zh-CN"/>
        </w:rPr>
        <w:t>100</w:t>
      </w:r>
      <w:r>
        <w:rPr>
          <w:rFonts w:hint="eastAsia"/>
          <w:lang w:eastAsia="zh-CN"/>
        </w:rPr>
        <w:t>%。</w:t>
      </w:r>
    </w:p>
    <w:p>
      <w:pPr>
        <w:bidi w:val="0"/>
        <w:rPr>
          <w:rFonts w:hint="eastAsia"/>
          <w:lang w:eastAsia="zh-CN"/>
        </w:rPr>
      </w:pPr>
      <w:r>
        <w:rPr>
          <w:rFonts w:hint="eastAsia"/>
          <w:lang w:val="en-US" w:eastAsia="zh-CN"/>
        </w:rPr>
        <w:t>阜康市文化体育广播电视和旅游局</w:t>
      </w:r>
      <w:r>
        <w:rPr>
          <w:rFonts w:hint="eastAsia"/>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lang w:val="en-US" w:eastAsia="zh-CN"/>
        </w:rPr>
        <w:t>阜康市文化体育广播电视和旅游局</w:t>
      </w:r>
      <w:r>
        <w:rPr>
          <w:rFonts w:hint="eastAsia"/>
          <w:lang w:eastAsia="zh-CN"/>
        </w:rPr>
        <w:t>事业发展中关系民生与稳定的项目，切实优化资源配置，提高了资金使用的效率和效果。</w:t>
      </w:r>
    </w:p>
    <w:bookmarkEnd w:id="12"/>
    <w:bookmarkEnd w:id="13"/>
    <w:p>
      <w:pPr>
        <w:bidi w:val="0"/>
        <w:rPr>
          <w:rFonts w:hint="eastAsia"/>
          <w:b/>
          <w:bCs/>
          <w:lang w:eastAsia="zh-CN"/>
        </w:rPr>
      </w:pPr>
      <w:r>
        <w:rPr>
          <w:rFonts w:hint="eastAsia"/>
          <w:b/>
          <w:bCs/>
          <w:lang w:eastAsia="zh-CN"/>
        </w:rPr>
        <w:t>（</w:t>
      </w:r>
      <w:r>
        <w:rPr>
          <w:rFonts w:hint="eastAsia"/>
          <w:b/>
          <w:bCs/>
          <w:lang w:val="en-US" w:eastAsia="zh-CN"/>
        </w:rPr>
        <w:t>二</w:t>
      </w:r>
      <w:r>
        <w:rPr>
          <w:rFonts w:hint="eastAsia"/>
          <w:b/>
          <w:bCs/>
          <w:lang w:eastAsia="zh-CN"/>
        </w:rPr>
        <w:t>）</w:t>
      </w:r>
      <w:r>
        <w:rPr>
          <w:rFonts w:hint="eastAsia"/>
          <w:b/>
          <w:bCs/>
        </w:rPr>
        <w:t>存在的问题及原因分析</w:t>
      </w:r>
    </w:p>
    <w:p>
      <w:pPr>
        <w:bidi w:val="0"/>
        <w:rPr>
          <w:rFonts w:hint="eastAsia"/>
          <w:lang w:val="en-US" w:eastAsia="zh-CN"/>
        </w:rPr>
      </w:pPr>
      <w:r>
        <w:rPr>
          <w:rFonts w:hint="eastAsia"/>
          <w:lang w:val="en-US" w:eastAsia="zh-CN"/>
        </w:rPr>
        <w:t>1.满意度绩效指标设立不够精准，应该在保障及时偿还债务的同时，提升工作人员服务水平，确保企业满意度为100%。</w:t>
      </w:r>
    </w:p>
    <w:p>
      <w:pPr>
        <w:bidi w:val="0"/>
        <w:rPr>
          <w:rFonts w:hint="default"/>
          <w:b w:val="0"/>
          <w:bCs w:val="0"/>
          <w:lang w:val="en-US" w:eastAsia="zh-CN"/>
        </w:rPr>
      </w:pPr>
      <w:r>
        <w:rPr>
          <w:rFonts w:hint="eastAsia"/>
          <w:lang w:val="en-US" w:eastAsia="zh-CN"/>
        </w:rPr>
        <w:t>2.绩效指标的明确性、可衡量性、相关性还需进一步提升。预算</w:t>
      </w:r>
      <w:r>
        <w:rPr>
          <w:rFonts w:hint="eastAsia"/>
          <w:b w:val="0"/>
          <w:bCs w:val="0"/>
          <w:lang w:val="en-US" w:eastAsia="zh-CN"/>
        </w:rPr>
        <w:t>精细化管理还需完善，预算编制管理水平仍有进一步提升的空间。</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pStyle w:val="13"/>
        <w:keepNext w:val="0"/>
        <w:keepLines w:val="0"/>
        <w:pageBreakBefore w:val="0"/>
        <w:widowControl w:val="0"/>
        <w:kinsoku/>
        <w:wordWrap/>
        <w:overflowPunct/>
        <w:topLinePunct w:val="0"/>
        <w:autoSpaceDE/>
        <w:autoSpaceDN/>
        <w:bidi w:val="0"/>
        <w:adjustRightInd/>
        <w:snapToGrid w:val="0"/>
        <w:spacing w:line="540" w:lineRule="exact"/>
        <w:ind w:firstLine="560" w:firstLineChars="200"/>
        <w:jc w:val="both"/>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加强绩效业务学习及培训，提高本单位负责项目绩效业务人员绩效管理意识，进一步加强预算绩效管理工作，优化项目支出绩效指标体系，完善预算绩效管理制度，有效推动我单位下一年度预算绩效管理工作常态化、规范化。</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eastAsia="zh-CN"/>
          <w14:textFill>
            <w14:solidFill>
              <w14:schemeClr w14:val="tx1"/>
            </w14:solidFill>
          </w14:textFill>
        </w:rPr>
        <w:t>八</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default" w:ascii="宋体" w:hAnsi="宋体" w:eastAsia="宋体" w:cs="宋体"/>
          <w:lang w:val="en-US" w:eastAsia="zh-CN"/>
        </w:rPr>
      </w:pPr>
      <w:r>
        <w:rPr>
          <w:rFonts w:hint="eastAsia" w:ascii="宋体" w:hAnsi="宋体" w:eastAsia="宋体" w:cs="宋体"/>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p>
    <w:p>
      <w:pPr>
        <w:ind w:left="0" w:leftChars="0" w:firstLine="0" w:firstLineChars="0"/>
        <w:rPr>
          <w:rFonts w:hint="eastAsia"/>
          <w:lang w:val="en-US" w:eastAsia="zh-CN"/>
        </w:rPr>
      </w:pPr>
      <w:r>
        <w:rPr>
          <w:rFonts w:hint="eastAsia"/>
          <w:lang w:val="en-US" w:eastAsia="zh-CN"/>
        </w:rPr>
        <w:br w:type="page"/>
      </w:r>
    </w:p>
    <w:tbl>
      <w:tblPr>
        <w:tblStyle w:val="9"/>
        <w:tblW w:w="5000" w:type="pct"/>
        <w:tblInd w:w="0" w:type="dxa"/>
        <w:shd w:val="clear" w:color="auto" w:fill="auto"/>
        <w:tblLayout w:type="fixed"/>
        <w:tblCellMar>
          <w:top w:w="0" w:type="dxa"/>
          <w:left w:w="0" w:type="dxa"/>
          <w:bottom w:w="0" w:type="dxa"/>
          <w:right w:w="0" w:type="dxa"/>
        </w:tblCellMar>
      </w:tblPr>
      <w:tblGrid>
        <w:gridCol w:w="623"/>
        <w:gridCol w:w="628"/>
        <w:gridCol w:w="963"/>
        <w:gridCol w:w="1137"/>
        <w:gridCol w:w="1035"/>
        <w:gridCol w:w="1140"/>
        <w:gridCol w:w="660"/>
        <w:gridCol w:w="719"/>
        <w:gridCol w:w="799"/>
        <w:gridCol w:w="632"/>
      </w:tblGrid>
      <w:tr>
        <w:tblPrEx>
          <w:shd w:val="clear" w:color="auto" w:fill="auto"/>
          <w:tblCellMar>
            <w:top w:w="0" w:type="dxa"/>
            <w:left w:w="0" w:type="dxa"/>
            <w:bottom w:w="0" w:type="dxa"/>
            <w:right w:w="0" w:type="dxa"/>
          </w:tblCellMar>
        </w:tblPrEx>
        <w:trPr>
          <w:trHeight w:val="420" w:hRule="atLeast"/>
        </w:trPr>
        <w:tc>
          <w:tcPr>
            <w:tcW w:w="5000" w:type="pct"/>
            <w:gridSpan w:val="10"/>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ascii="黑体" w:hAnsi="宋体" w:eastAsia="黑体" w:cs="黑体"/>
                <w:b/>
                <w:i w:val="0"/>
                <w:color w:val="000000"/>
                <w:sz w:val="32"/>
                <w:szCs w:val="32"/>
                <w:u w:val="none"/>
              </w:rPr>
            </w:pPr>
            <w:r>
              <w:rPr>
                <w:rFonts w:hint="eastAsia" w:ascii="黑体" w:hAnsi="宋体" w:eastAsia="黑体" w:cs="黑体"/>
                <w:b/>
                <w:i w:val="0"/>
                <w:color w:val="000000"/>
                <w:kern w:val="0"/>
                <w:sz w:val="32"/>
                <w:szCs w:val="32"/>
                <w:u w:val="none"/>
                <w:lang w:val="en-US" w:eastAsia="zh-CN" w:bidi="ar"/>
              </w:rPr>
              <w:t>项目支出绩效自评表</w:t>
            </w:r>
          </w:p>
        </w:tc>
      </w:tr>
      <w:tr>
        <w:tblPrEx>
          <w:tblCellMar>
            <w:top w:w="0" w:type="dxa"/>
            <w:left w:w="0" w:type="dxa"/>
            <w:bottom w:w="0" w:type="dxa"/>
            <w:right w:w="0" w:type="dxa"/>
          </w:tblCellMar>
        </w:tblPrEx>
        <w:trPr>
          <w:trHeight w:val="330" w:hRule="atLeast"/>
        </w:trPr>
        <w:tc>
          <w:tcPr>
            <w:tcW w:w="5000" w:type="pct"/>
            <w:gridSpan w:val="10"/>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（2022年度）</w:t>
            </w:r>
          </w:p>
        </w:tc>
      </w:tr>
      <w:tr>
        <w:tblPrEx>
          <w:tblCellMar>
            <w:top w:w="0" w:type="dxa"/>
            <w:left w:w="0" w:type="dxa"/>
            <w:bottom w:w="0" w:type="dxa"/>
            <w:right w:w="0" w:type="dxa"/>
          </w:tblCellMar>
        </w:tblPrEx>
        <w:trPr>
          <w:trHeight w:val="330" w:hRule="atLeast"/>
        </w:trPr>
        <w:tc>
          <w:tcPr>
            <w:tcW w:w="75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4249"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九月化债第三批经费</w:t>
            </w:r>
          </w:p>
        </w:tc>
      </w:tr>
      <w:tr>
        <w:tblPrEx>
          <w:shd w:val="clear" w:color="auto" w:fill="auto"/>
          <w:tblCellMar>
            <w:top w:w="0" w:type="dxa"/>
            <w:left w:w="0" w:type="dxa"/>
            <w:bottom w:w="0" w:type="dxa"/>
            <w:right w:w="0" w:type="dxa"/>
          </w:tblCellMar>
        </w:tblPrEx>
        <w:trPr>
          <w:trHeight w:val="620" w:hRule="atLeast"/>
        </w:trPr>
        <w:tc>
          <w:tcPr>
            <w:tcW w:w="75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主管部门</w:t>
            </w:r>
          </w:p>
        </w:tc>
        <w:tc>
          <w:tcPr>
            <w:tcW w:w="188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阜康市文化体育广播电视和旅游局</w:t>
            </w:r>
          </w:p>
        </w:tc>
        <w:tc>
          <w:tcPr>
            <w:tcW w:w="107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实施单位</w:t>
            </w:r>
          </w:p>
        </w:tc>
        <w:tc>
          <w:tcPr>
            <w:tcW w:w="12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阜康市文化体育广播电视和旅游局</w:t>
            </w:r>
          </w:p>
        </w:tc>
      </w:tr>
      <w:tr>
        <w:tblPrEx>
          <w:tblCellMar>
            <w:top w:w="0" w:type="dxa"/>
            <w:left w:w="0" w:type="dxa"/>
            <w:bottom w:w="0" w:type="dxa"/>
            <w:right w:w="0" w:type="dxa"/>
          </w:tblCellMar>
        </w:tblPrEx>
        <w:trPr>
          <w:trHeight w:val="420" w:hRule="atLeast"/>
        </w:trPr>
        <w:tc>
          <w:tcPr>
            <w:tcW w:w="75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c>
          <w:tcPr>
            <w:tcW w:w="57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年初预算数</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全年预算数</w:t>
            </w:r>
          </w:p>
        </w:tc>
        <w:tc>
          <w:tcPr>
            <w:tcW w:w="107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全年执行数</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分值</w:t>
            </w: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执行率</w:t>
            </w:r>
          </w:p>
        </w:tc>
        <w:tc>
          <w:tcPr>
            <w:tcW w:w="3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得分</w:t>
            </w:r>
          </w:p>
        </w:tc>
      </w:tr>
      <w:tr>
        <w:tblPrEx>
          <w:shd w:val="clear" w:color="auto" w:fill="auto"/>
          <w:tblCellMar>
            <w:top w:w="0" w:type="dxa"/>
            <w:left w:w="0" w:type="dxa"/>
            <w:bottom w:w="0" w:type="dxa"/>
            <w:right w:w="0" w:type="dxa"/>
          </w:tblCellMar>
        </w:tblPrEx>
        <w:trPr>
          <w:trHeight w:val="762" w:hRule="atLeast"/>
        </w:trPr>
        <w:tc>
          <w:tcPr>
            <w:tcW w:w="75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年度资金总额</w:t>
            </w: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214.1</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214.1</w:t>
            </w:r>
          </w:p>
        </w:tc>
        <w:tc>
          <w:tcPr>
            <w:tcW w:w="107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214.1</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r>
      <w:tr>
        <w:tblPrEx>
          <w:tblCellMar>
            <w:top w:w="0" w:type="dxa"/>
            <w:left w:w="0" w:type="dxa"/>
            <w:bottom w:w="0" w:type="dxa"/>
            <w:right w:w="0" w:type="dxa"/>
          </w:tblCellMar>
        </w:tblPrEx>
        <w:trPr>
          <w:trHeight w:val="330" w:hRule="atLeast"/>
        </w:trPr>
        <w:tc>
          <w:tcPr>
            <w:tcW w:w="75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其中：当年财政拨款</w:t>
            </w: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214.1</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214.1</w:t>
            </w:r>
          </w:p>
        </w:tc>
        <w:tc>
          <w:tcPr>
            <w:tcW w:w="107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214.1</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r>
      <w:tr>
        <w:tblPrEx>
          <w:tblCellMar>
            <w:top w:w="0" w:type="dxa"/>
            <w:left w:w="0" w:type="dxa"/>
            <w:bottom w:w="0" w:type="dxa"/>
            <w:right w:w="0" w:type="dxa"/>
          </w:tblCellMar>
        </w:tblPrEx>
        <w:trPr>
          <w:trHeight w:val="330" w:hRule="atLeast"/>
        </w:trPr>
        <w:tc>
          <w:tcPr>
            <w:tcW w:w="75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w:t>
            </w:r>
          </w:p>
        </w:tc>
        <w:tc>
          <w:tcPr>
            <w:tcW w:w="107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r>
      <w:tr>
        <w:tblPrEx>
          <w:shd w:val="clear" w:color="auto" w:fill="auto"/>
          <w:tblCellMar>
            <w:top w:w="0" w:type="dxa"/>
            <w:left w:w="0" w:type="dxa"/>
            <w:bottom w:w="0" w:type="dxa"/>
            <w:right w:w="0" w:type="dxa"/>
          </w:tblCellMar>
        </w:tblPrEx>
        <w:trPr>
          <w:trHeight w:val="330" w:hRule="atLeast"/>
        </w:trPr>
        <w:tc>
          <w:tcPr>
            <w:tcW w:w="75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w:t>
            </w:r>
          </w:p>
        </w:tc>
        <w:tc>
          <w:tcPr>
            <w:tcW w:w="107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c>
          <w:tcPr>
            <w:tcW w:w="4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w:t>
            </w:r>
          </w:p>
        </w:tc>
      </w:tr>
      <w:tr>
        <w:tblPrEx>
          <w:tblCellMar>
            <w:top w:w="0" w:type="dxa"/>
            <w:left w:w="0" w:type="dxa"/>
            <w:bottom w:w="0" w:type="dxa"/>
            <w:right w:w="0" w:type="dxa"/>
          </w:tblCellMar>
        </w:tblPrEx>
        <w:trPr>
          <w:trHeight w:val="330" w:hRule="atLeast"/>
        </w:trPr>
        <w:tc>
          <w:tcPr>
            <w:tcW w:w="37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年度总体目标</w:t>
            </w:r>
          </w:p>
        </w:tc>
        <w:tc>
          <w:tcPr>
            <w:tcW w:w="2257"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预期目标</w:t>
            </w:r>
          </w:p>
        </w:tc>
        <w:tc>
          <w:tcPr>
            <w:tcW w:w="236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实际完成情况</w:t>
            </w:r>
          </w:p>
        </w:tc>
      </w:tr>
      <w:tr>
        <w:tblPrEx>
          <w:tblCellMar>
            <w:top w:w="0" w:type="dxa"/>
            <w:left w:w="0" w:type="dxa"/>
            <w:bottom w:w="0" w:type="dxa"/>
            <w:right w:w="0" w:type="dxa"/>
          </w:tblCellMar>
        </w:tblPrEx>
        <w:trPr>
          <w:trHeight w:val="1699" w:hRule="atLeast"/>
        </w:trPr>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2257"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1.偿还9个项目所欠款项；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2.按照相关部门管理要求规范使用，于9月30日前使用完毕。</w:t>
            </w:r>
          </w:p>
        </w:tc>
        <w:tc>
          <w:tcPr>
            <w:tcW w:w="236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截止2022年12月底，本单位完成1.已全部偿还9家企业所欠款项；2.已严格按照相关部门管理要求规范使用，于9月30日前资金使用完毕。达到提升企业发展经济效益，满意度达90%。</w:t>
            </w:r>
          </w:p>
        </w:tc>
      </w:tr>
      <w:tr>
        <w:tblPrEx>
          <w:tblCellMar>
            <w:top w:w="0" w:type="dxa"/>
            <w:left w:w="0" w:type="dxa"/>
            <w:bottom w:w="0" w:type="dxa"/>
            <w:right w:w="0" w:type="dxa"/>
          </w:tblCellMar>
        </w:tblPrEx>
        <w:trPr>
          <w:trHeight w:val="285" w:hRule="atLeast"/>
        </w:trPr>
        <w:tc>
          <w:tcPr>
            <w:tcW w:w="373"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绩 效 指 标</w:t>
            </w:r>
          </w:p>
        </w:tc>
        <w:tc>
          <w:tcPr>
            <w:tcW w:w="37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一级指标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二级指标</w:t>
            </w: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三级指标</w:t>
            </w:r>
          </w:p>
        </w:tc>
        <w:tc>
          <w:tcPr>
            <w:tcW w:w="620"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年度指标值</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实际完成值</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分值</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得分</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CellMar>
            <w:top w:w="0" w:type="dxa"/>
            <w:left w:w="0" w:type="dxa"/>
            <w:bottom w:w="0" w:type="dxa"/>
            <w:right w:w="0" w:type="dxa"/>
          </w:tblCellMar>
        </w:tblPrEx>
        <w:trPr>
          <w:trHeight w:val="740"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37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产出指标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数量指标</w:t>
            </w: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偿还欠款企业数量</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9个</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9个</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r>
      <w:tr>
        <w:tblPrEx>
          <w:tblCellMar>
            <w:top w:w="0" w:type="dxa"/>
            <w:left w:w="0" w:type="dxa"/>
            <w:bottom w:w="0" w:type="dxa"/>
            <w:right w:w="0" w:type="dxa"/>
          </w:tblCellMar>
        </w:tblPrEx>
        <w:trPr>
          <w:trHeight w:val="285"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质量指标</w:t>
            </w: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偿还资金发放完成率</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r>
      <w:tr>
        <w:tblPrEx>
          <w:tblCellMar>
            <w:top w:w="0" w:type="dxa"/>
            <w:left w:w="0" w:type="dxa"/>
            <w:bottom w:w="0" w:type="dxa"/>
            <w:right w:w="0" w:type="dxa"/>
          </w:tblCellMar>
        </w:tblPrEx>
        <w:trPr>
          <w:trHeight w:val="285"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资金规范管理使用率</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r>
      <w:tr>
        <w:tblPrEx>
          <w:tblCellMar>
            <w:top w:w="0" w:type="dxa"/>
            <w:left w:w="0" w:type="dxa"/>
            <w:bottom w:w="0" w:type="dxa"/>
            <w:right w:w="0" w:type="dxa"/>
          </w:tblCellMar>
        </w:tblPrEx>
        <w:trPr>
          <w:trHeight w:val="285"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时效指标</w:t>
            </w:r>
          </w:p>
        </w:tc>
        <w:tc>
          <w:tcPr>
            <w:tcW w:w="681"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资金发放完成时间</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2022-9-30</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2022-9-30</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r>
      <w:tr>
        <w:tblPrEx>
          <w:shd w:val="clear" w:color="auto" w:fill="auto"/>
          <w:tblCellMar>
            <w:top w:w="0" w:type="dxa"/>
            <w:left w:w="0" w:type="dxa"/>
            <w:bottom w:w="0" w:type="dxa"/>
            <w:right w:w="0" w:type="dxa"/>
          </w:tblCellMar>
        </w:tblPrEx>
        <w:trPr>
          <w:trHeight w:val="285"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681" w:type="pc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资金使用及时率</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r>
      <w:tr>
        <w:tblPrEx>
          <w:tblCellMar>
            <w:top w:w="0" w:type="dxa"/>
            <w:left w:w="0" w:type="dxa"/>
            <w:bottom w:w="0" w:type="dxa"/>
            <w:right w:w="0" w:type="dxa"/>
          </w:tblCellMar>
        </w:tblPrEx>
        <w:trPr>
          <w:trHeight w:val="285"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成本指标</w:t>
            </w: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南京华典建筑装饰工程有限公司-文体中心外墙面装饰项目</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≤61.62万元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61.62万元</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r>
      <w:tr>
        <w:tblPrEx>
          <w:tblCellMar>
            <w:top w:w="0" w:type="dxa"/>
            <w:left w:w="0" w:type="dxa"/>
            <w:bottom w:w="0" w:type="dxa"/>
            <w:right w:w="0" w:type="dxa"/>
          </w:tblCellMar>
        </w:tblPrEx>
        <w:trPr>
          <w:trHeight w:val="680"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新疆天正工程建设项目管理有限公司阜康分公司-文体中心项目监理费</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≤15.82万元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15.82万元</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580"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68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新疆天正工程建设项目管理有限公司阜康分公司-文体中心项目监理费</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≤33.16万元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33.16万元</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580"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68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新疆天正工程建设项目管理有限公司阜康分公司-文体中心外墙面装修监理费</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≤43.69万元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43.69万元</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580"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68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新疆天正工程建设项目管理有限公司阜康分公司-博物馆展厅深化设计布展</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5万元</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580"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68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新疆建业建设项目管理有限公司-文体中心室内装修招标代理费3</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≤2.16万元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2.16万元</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580"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68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新疆金方正科技有限公司-文博中心弱电文物安防系统</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≤46.64万元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46.64万元</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4</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580"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68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新疆建业建设项目管理有限公司-文体中心室内装修招标代理费1</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≤2.24万元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2.24万元</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580"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7"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68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新疆建业建设项目管理有限公司-文体中心室内装修招标代理费2</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≤3.77万元</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3.77万元</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285"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效益指标</w:t>
            </w:r>
          </w:p>
        </w:tc>
        <w:tc>
          <w:tcPr>
            <w:tcW w:w="577"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经济效益指标</w:t>
            </w: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提升企业经济发展</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提升</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15</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15</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285"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p>
        </w:tc>
        <w:tc>
          <w:tcPr>
            <w:tcW w:w="57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可持续影响指标</w:t>
            </w: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暂缓部分企业因不可控因素经济困难问题</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长期</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15</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15</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285" w:hRule="atLeast"/>
        </w:trPr>
        <w:tc>
          <w:tcPr>
            <w:tcW w:w="373"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7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满意度指标</w:t>
            </w:r>
          </w:p>
        </w:tc>
        <w:tc>
          <w:tcPr>
            <w:tcW w:w="57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服务对象满意度指标</w:t>
            </w:r>
          </w:p>
        </w:tc>
        <w:tc>
          <w:tcPr>
            <w:tcW w:w="6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企业满意度</w:t>
            </w:r>
          </w:p>
        </w:tc>
        <w:tc>
          <w:tcPr>
            <w:tcW w:w="6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≥90%</w:t>
            </w:r>
          </w:p>
        </w:tc>
        <w:tc>
          <w:tcPr>
            <w:tcW w:w="6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leftChars="0" w:firstLine="0" w:firstLineChars="0"/>
              <w:jc w:val="both"/>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shd w:val="clear" w:color="auto" w:fill="auto"/>
          <w:tblCellMar>
            <w:top w:w="0" w:type="dxa"/>
            <w:left w:w="0" w:type="dxa"/>
            <w:bottom w:w="0" w:type="dxa"/>
            <w:right w:w="0" w:type="dxa"/>
          </w:tblCellMar>
        </w:tblPrEx>
        <w:trPr>
          <w:trHeight w:val="285" w:hRule="atLeast"/>
        </w:trPr>
        <w:tc>
          <w:tcPr>
            <w:tcW w:w="3314"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39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4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58"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rPr>
                <w:rFonts w:hint="eastAsia" w:ascii="宋体" w:hAnsi="宋体" w:eastAsia="宋体" w:cs="宋体"/>
                <w:i w:val="0"/>
                <w:color w:val="000000"/>
                <w:sz w:val="20"/>
                <w:szCs w:val="20"/>
                <w:u w:val="none"/>
              </w:rPr>
            </w:pPr>
          </w:p>
        </w:tc>
      </w:tr>
    </w:tbl>
    <w:p>
      <w:pPr>
        <w:rPr>
          <w:rFonts w:hint="eastAsia"/>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kern w:val="2"/>
          <w:sz w:val="32"/>
          <w:szCs w:val="24"/>
          <w:lang w:val="en-US" w:eastAsia="zh-CN" w:bidi="ar-SA"/>
        </w:rPr>
      </w:pPr>
      <w:r>
        <w:rPr>
          <w:rFonts w:hint="eastAsia" w:cs="宋体"/>
          <w:b/>
          <w:bCs/>
          <w:color w:val="000000"/>
          <w:kern w:val="2"/>
          <w:sz w:val="36"/>
          <w:szCs w:val="28"/>
          <w:lang w:val="en-US" w:eastAsia="zh-CN" w:bidi="ar-SA"/>
        </w:rPr>
        <w:t xml:space="preserve">附件二              </w:t>
      </w:r>
      <w:r>
        <w:rPr>
          <w:rFonts w:hint="eastAsia" w:ascii="宋体" w:hAnsi="宋体" w:eastAsia="宋体" w:cs="宋体"/>
          <w:b/>
          <w:bCs/>
          <w:color w:val="000000"/>
          <w:kern w:val="2"/>
          <w:sz w:val="36"/>
          <w:szCs w:val="28"/>
          <w:lang w:val="en-US" w:eastAsia="zh-CN" w:bidi="ar-SA"/>
        </w:rPr>
        <w:t>项目支出绩效评价指标体系打分表</w:t>
      </w:r>
    </w:p>
    <w:tbl>
      <w:tblPr>
        <w:tblStyle w:val="9"/>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bidi="ar-SA"/>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bidi="ar-SA"/>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bidi="ar-SA"/>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bidi="ar-SA"/>
              </w:rPr>
            </w:pPr>
            <w:r>
              <w:rPr>
                <w:rFonts w:hint="eastAsia" w:cs="宋体"/>
                <w:color w:val="000000"/>
                <w:kern w:val="0"/>
                <w:sz w:val="22"/>
                <w:szCs w:val="22"/>
                <w:lang w:val="en-US" w:eastAsia="zh-CN"/>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5AEE22C"/>
    <w:multiLevelType w:val="singleLevel"/>
    <w:tmpl w:val="45AEE22C"/>
    <w:lvl w:ilvl="0" w:tentative="0">
      <w:start w:val="1"/>
      <w:numFmt w:val="decimal"/>
      <w:lvlText w:val="%1."/>
      <w:lvlJc w:val="left"/>
      <w:pPr>
        <w:tabs>
          <w:tab w:val="left" w:pos="312"/>
        </w:tabs>
      </w:pPr>
    </w:lvl>
  </w:abstractNum>
  <w:abstractNum w:abstractNumId="4">
    <w:nsid w:val="5E7C60C2"/>
    <w:multiLevelType w:val="singleLevel"/>
    <w:tmpl w:val="5E7C60C2"/>
    <w:lvl w:ilvl="0" w:tentative="0">
      <w:start w:val="1"/>
      <w:numFmt w:val="decimal"/>
      <w:lvlText w:val="%1."/>
      <w:lvlJc w:val="left"/>
      <w:pPr>
        <w:tabs>
          <w:tab w:val="left" w:pos="312"/>
        </w:tabs>
      </w:pPr>
    </w:lvl>
  </w:abstractNum>
  <w:abstractNum w:abstractNumId="5">
    <w:nsid w:val="700F05B1"/>
    <w:multiLevelType w:val="singleLevel"/>
    <w:tmpl w:val="700F05B1"/>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zYTUzZWU5NjcwMTQwY2YwMDczOTAyZDAxNWRiMzEifQ=="/>
  </w:docVars>
  <w:rsids>
    <w:rsidRoot w:val="68291A1A"/>
    <w:rsid w:val="006D2DE6"/>
    <w:rsid w:val="00EF0D34"/>
    <w:rsid w:val="01395FFB"/>
    <w:rsid w:val="01470C4C"/>
    <w:rsid w:val="015D2572"/>
    <w:rsid w:val="02200440"/>
    <w:rsid w:val="02284B43"/>
    <w:rsid w:val="02765B38"/>
    <w:rsid w:val="02B015E2"/>
    <w:rsid w:val="02CC0F8D"/>
    <w:rsid w:val="02CE0159"/>
    <w:rsid w:val="039C3BA0"/>
    <w:rsid w:val="03A845BB"/>
    <w:rsid w:val="041933F6"/>
    <w:rsid w:val="04907B0B"/>
    <w:rsid w:val="04D63993"/>
    <w:rsid w:val="04F40867"/>
    <w:rsid w:val="053C1930"/>
    <w:rsid w:val="053E33E3"/>
    <w:rsid w:val="05B72087"/>
    <w:rsid w:val="06B37A05"/>
    <w:rsid w:val="06CE3B2E"/>
    <w:rsid w:val="073746C0"/>
    <w:rsid w:val="07843A1E"/>
    <w:rsid w:val="07890F4F"/>
    <w:rsid w:val="07AE4ADD"/>
    <w:rsid w:val="07CE0249"/>
    <w:rsid w:val="08874AD4"/>
    <w:rsid w:val="089D72A3"/>
    <w:rsid w:val="08CD76E0"/>
    <w:rsid w:val="094B2767"/>
    <w:rsid w:val="09781BD6"/>
    <w:rsid w:val="09D3373D"/>
    <w:rsid w:val="09FD03B3"/>
    <w:rsid w:val="0A0A7319"/>
    <w:rsid w:val="0A617479"/>
    <w:rsid w:val="0A793D6F"/>
    <w:rsid w:val="0BAA3B81"/>
    <w:rsid w:val="0BBE5612"/>
    <w:rsid w:val="0BE365ED"/>
    <w:rsid w:val="0CAE0F57"/>
    <w:rsid w:val="0D083F82"/>
    <w:rsid w:val="0D4452F3"/>
    <w:rsid w:val="0D7C1BC7"/>
    <w:rsid w:val="0E146850"/>
    <w:rsid w:val="0E9A7AA4"/>
    <w:rsid w:val="0EA73BE9"/>
    <w:rsid w:val="0EBF5701"/>
    <w:rsid w:val="0F510D6D"/>
    <w:rsid w:val="0F5E5042"/>
    <w:rsid w:val="0F682BF3"/>
    <w:rsid w:val="0FAD1C70"/>
    <w:rsid w:val="10510571"/>
    <w:rsid w:val="1097010F"/>
    <w:rsid w:val="109717E2"/>
    <w:rsid w:val="10E129D5"/>
    <w:rsid w:val="11F740BE"/>
    <w:rsid w:val="11FA6155"/>
    <w:rsid w:val="12A405C3"/>
    <w:rsid w:val="12CF0947"/>
    <w:rsid w:val="12F1313F"/>
    <w:rsid w:val="1315132F"/>
    <w:rsid w:val="136C678E"/>
    <w:rsid w:val="139A49EA"/>
    <w:rsid w:val="13EB2FF5"/>
    <w:rsid w:val="13F76359"/>
    <w:rsid w:val="146D03DC"/>
    <w:rsid w:val="14815E0F"/>
    <w:rsid w:val="14F96AEA"/>
    <w:rsid w:val="165825BC"/>
    <w:rsid w:val="16611AC5"/>
    <w:rsid w:val="1673105E"/>
    <w:rsid w:val="16EF3926"/>
    <w:rsid w:val="175F2390"/>
    <w:rsid w:val="176F36D7"/>
    <w:rsid w:val="17FE325E"/>
    <w:rsid w:val="18456B1E"/>
    <w:rsid w:val="188E3879"/>
    <w:rsid w:val="18D94B80"/>
    <w:rsid w:val="193270AE"/>
    <w:rsid w:val="19AA335A"/>
    <w:rsid w:val="19E9368C"/>
    <w:rsid w:val="1A1220CE"/>
    <w:rsid w:val="1B0536C4"/>
    <w:rsid w:val="1B337FA8"/>
    <w:rsid w:val="1B913A26"/>
    <w:rsid w:val="1B997BB6"/>
    <w:rsid w:val="1C1171C5"/>
    <w:rsid w:val="1C1A09A3"/>
    <w:rsid w:val="1D405C08"/>
    <w:rsid w:val="1DA41A79"/>
    <w:rsid w:val="1DF53469"/>
    <w:rsid w:val="1E2244CC"/>
    <w:rsid w:val="1E5677F4"/>
    <w:rsid w:val="1E57741B"/>
    <w:rsid w:val="1E58492F"/>
    <w:rsid w:val="1E5B6757"/>
    <w:rsid w:val="1ED10AC6"/>
    <w:rsid w:val="1F124E2B"/>
    <w:rsid w:val="1F447072"/>
    <w:rsid w:val="1F756311"/>
    <w:rsid w:val="1FC0575D"/>
    <w:rsid w:val="1FFB7A3E"/>
    <w:rsid w:val="209953EF"/>
    <w:rsid w:val="20D4237B"/>
    <w:rsid w:val="21087649"/>
    <w:rsid w:val="217F1223"/>
    <w:rsid w:val="21B00C1D"/>
    <w:rsid w:val="21CB6FDC"/>
    <w:rsid w:val="22503BF9"/>
    <w:rsid w:val="22A67A15"/>
    <w:rsid w:val="23031BEB"/>
    <w:rsid w:val="23917691"/>
    <w:rsid w:val="23D54BF5"/>
    <w:rsid w:val="2410556B"/>
    <w:rsid w:val="244D65B8"/>
    <w:rsid w:val="245E1E24"/>
    <w:rsid w:val="24DB6651"/>
    <w:rsid w:val="26E735F0"/>
    <w:rsid w:val="26FA5E69"/>
    <w:rsid w:val="27661469"/>
    <w:rsid w:val="277742C9"/>
    <w:rsid w:val="278A6AAA"/>
    <w:rsid w:val="27900EAD"/>
    <w:rsid w:val="279B538A"/>
    <w:rsid w:val="282D7A07"/>
    <w:rsid w:val="286F545C"/>
    <w:rsid w:val="28F75AA4"/>
    <w:rsid w:val="29314FBC"/>
    <w:rsid w:val="2A482D5B"/>
    <w:rsid w:val="2AFC3B27"/>
    <w:rsid w:val="2B17652C"/>
    <w:rsid w:val="2B613AAD"/>
    <w:rsid w:val="2B91123F"/>
    <w:rsid w:val="2C927671"/>
    <w:rsid w:val="2CBC4771"/>
    <w:rsid w:val="2CD35612"/>
    <w:rsid w:val="2CF56B4C"/>
    <w:rsid w:val="2D7C5CD6"/>
    <w:rsid w:val="2E483E7E"/>
    <w:rsid w:val="2E633DB6"/>
    <w:rsid w:val="2F454B19"/>
    <w:rsid w:val="2FB93ACE"/>
    <w:rsid w:val="301310F2"/>
    <w:rsid w:val="307A4C15"/>
    <w:rsid w:val="307F2062"/>
    <w:rsid w:val="31382554"/>
    <w:rsid w:val="31E3230A"/>
    <w:rsid w:val="33356F64"/>
    <w:rsid w:val="33944516"/>
    <w:rsid w:val="33B94E37"/>
    <w:rsid w:val="34193EC7"/>
    <w:rsid w:val="34B62907"/>
    <w:rsid w:val="358B4934"/>
    <w:rsid w:val="359D3BD4"/>
    <w:rsid w:val="360F1164"/>
    <w:rsid w:val="369D4845"/>
    <w:rsid w:val="375B0ED9"/>
    <w:rsid w:val="375E4442"/>
    <w:rsid w:val="37883B2E"/>
    <w:rsid w:val="383B1674"/>
    <w:rsid w:val="38782EDD"/>
    <w:rsid w:val="39D92ABD"/>
    <w:rsid w:val="39DD3F70"/>
    <w:rsid w:val="3A6F0F00"/>
    <w:rsid w:val="3AEB061F"/>
    <w:rsid w:val="3AF03284"/>
    <w:rsid w:val="3B42664A"/>
    <w:rsid w:val="3CD000E0"/>
    <w:rsid w:val="3CE965C2"/>
    <w:rsid w:val="3D836A4E"/>
    <w:rsid w:val="3DAB180D"/>
    <w:rsid w:val="3F1469D9"/>
    <w:rsid w:val="3F993AAF"/>
    <w:rsid w:val="3FBE0BC5"/>
    <w:rsid w:val="3FF4015F"/>
    <w:rsid w:val="4048103A"/>
    <w:rsid w:val="41593FED"/>
    <w:rsid w:val="41AF3ED2"/>
    <w:rsid w:val="42166D50"/>
    <w:rsid w:val="425602FA"/>
    <w:rsid w:val="42AC654A"/>
    <w:rsid w:val="435241E2"/>
    <w:rsid w:val="439E3FA7"/>
    <w:rsid w:val="44641552"/>
    <w:rsid w:val="44B32266"/>
    <w:rsid w:val="44FC64F4"/>
    <w:rsid w:val="45060C07"/>
    <w:rsid w:val="451403C4"/>
    <w:rsid w:val="455A1E85"/>
    <w:rsid w:val="456841D4"/>
    <w:rsid w:val="45E11AAA"/>
    <w:rsid w:val="461368EF"/>
    <w:rsid w:val="464725C6"/>
    <w:rsid w:val="464B4997"/>
    <w:rsid w:val="467F4585"/>
    <w:rsid w:val="470628CB"/>
    <w:rsid w:val="47543F93"/>
    <w:rsid w:val="47555BD4"/>
    <w:rsid w:val="485429D1"/>
    <w:rsid w:val="48E12B50"/>
    <w:rsid w:val="493B414A"/>
    <w:rsid w:val="499441BE"/>
    <w:rsid w:val="4A2138F0"/>
    <w:rsid w:val="4A583887"/>
    <w:rsid w:val="4AC77E8A"/>
    <w:rsid w:val="4B1E237A"/>
    <w:rsid w:val="4B7D6C71"/>
    <w:rsid w:val="4B9F6E02"/>
    <w:rsid w:val="4BB05543"/>
    <w:rsid w:val="4BB06013"/>
    <w:rsid w:val="4D425EB2"/>
    <w:rsid w:val="4E6E48A8"/>
    <w:rsid w:val="4ED71D75"/>
    <w:rsid w:val="4EEC036B"/>
    <w:rsid w:val="4F5922E3"/>
    <w:rsid w:val="4FDF2771"/>
    <w:rsid w:val="501D2673"/>
    <w:rsid w:val="50BD3F45"/>
    <w:rsid w:val="514728FF"/>
    <w:rsid w:val="51852833"/>
    <w:rsid w:val="518B66F7"/>
    <w:rsid w:val="520606BE"/>
    <w:rsid w:val="521A1457"/>
    <w:rsid w:val="522A61FC"/>
    <w:rsid w:val="52547941"/>
    <w:rsid w:val="53555F0F"/>
    <w:rsid w:val="537E289B"/>
    <w:rsid w:val="53BF5CC4"/>
    <w:rsid w:val="540A2C0C"/>
    <w:rsid w:val="54857CEF"/>
    <w:rsid w:val="54B2662B"/>
    <w:rsid w:val="54C250DC"/>
    <w:rsid w:val="55232294"/>
    <w:rsid w:val="55462E6B"/>
    <w:rsid w:val="55B03C41"/>
    <w:rsid w:val="56286F07"/>
    <w:rsid w:val="56512E93"/>
    <w:rsid w:val="565D3687"/>
    <w:rsid w:val="58135E36"/>
    <w:rsid w:val="583C7AE0"/>
    <w:rsid w:val="5867491F"/>
    <w:rsid w:val="58AE39F2"/>
    <w:rsid w:val="58C24A19"/>
    <w:rsid w:val="58F27A0A"/>
    <w:rsid w:val="59170633"/>
    <w:rsid w:val="59216F96"/>
    <w:rsid w:val="592B0D36"/>
    <w:rsid w:val="59460F43"/>
    <w:rsid w:val="5B9D2CCD"/>
    <w:rsid w:val="5CF02CFB"/>
    <w:rsid w:val="5D285CE7"/>
    <w:rsid w:val="5DFF2C85"/>
    <w:rsid w:val="5E1651BC"/>
    <w:rsid w:val="5E346CEE"/>
    <w:rsid w:val="5E4821FF"/>
    <w:rsid w:val="5EC009E5"/>
    <w:rsid w:val="5F9D136A"/>
    <w:rsid w:val="607B0CC0"/>
    <w:rsid w:val="60C371E7"/>
    <w:rsid w:val="61197FF7"/>
    <w:rsid w:val="61265C0B"/>
    <w:rsid w:val="61540FA2"/>
    <w:rsid w:val="617F16DC"/>
    <w:rsid w:val="622745EB"/>
    <w:rsid w:val="625A7BE5"/>
    <w:rsid w:val="62AB668B"/>
    <w:rsid w:val="62B1243B"/>
    <w:rsid w:val="62C83426"/>
    <w:rsid w:val="62DF69B9"/>
    <w:rsid w:val="636A1705"/>
    <w:rsid w:val="63B00069"/>
    <w:rsid w:val="640F382B"/>
    <w:rsid w:val="652003A5"/>
    <w:rsid w:val="65585CED"/>
    <w:rsid w:val="65C67F0C"/>
    <w:rsid w:val="65E948DC"/>
    <w:rsid w:val="66385139"/>
    <w:rsid w:val="66CC254A"/>
    <w:rsid w:val="67394C7D"/>
    <w:rsid w:val="673F16A1"/>
    <w:rsid w:val="67614745"/>
    <w:rsid w:val="67C07E2D"/>
    <w:rsid w:val="67D01C3E"/>
    <w:rsid w:val="68126B38"/>
    <w:rsid w:val="68291A1A"/>
    <w:rsid w:val="682A635C"/>
    <w:rsid w:val="68755913"/>
    <w:rsid w:val="68ED5131"/>
    <w:rsid w:val="691B1594"/>
    <w:rsid w:val="692D57F0"/>
    <w:rsid w:val="6931592B"/>
    <w:rsid w:val="695C7221"/>
    <w:rsid w:val="6963704F"/>
    <w:rsid w:val="69675EB8"/>
    <w:rsid w:val="6A17429C"/>
    <w:rsid w:val="6A300FD9"/>
    <w:rsid w:val="6A567EA3"/>
    <w:rsid w:val="6A5E2BC2"/>
    <w:rsid w:val="6AE47E8F"/>
    <w:rsid w:val="6B2A7D09"/>
    <w:rsid w:val="6B4B4368"/>
    <w:rsid w:val="6B7C299A"/>
    <w:rsid w:val="6BA042F1"/>
    <w:rsid w:val="6BAE0D1F"/>
    <w:rsid w:val="6C885276"/>
    <w:rsid w:val="6D7B1263"/>
    <w:rsid w:val="6DFF48F1"/>
    <w:rsid w:val="6E557973"/>
    <w:rsid w:val="6E6847D7"/>
    <w:rsid w:val="6ED73247"/>
    <w:rsid w:val="6F0D6C22"/>
    <w:rsid w:val="6F47657F"/>
    <w:rsid w:val="6FA010E3"/>
    <w:rsid w:val="6FA95FD3"/>
    <w:rsid w:val="70670707"/>
    <w:rsid w:val="713376F3"/>
    <w:rsid w:val="71374D55"/>
    <w:rsid w:val="71403BCF"/>
    <w:rsid w:val="715131E9"/>
    <w:rsid w:val="7190671D"/>
    <w:rsid w:val="720E3691"/>
    <w:rsid w:val="721D034C"/>
    <w:rsid w:val="732764B3"/>
    <w:rsid w:val="737777F2"/>
    <w:rsid w:val="73E20FE4"/>
    <w:rsid w:val="73FF7748"/>
    <w:rsid w:val="75973E8B"/>
    <w:rsid w:val="75C46B12"/>
    <w:rsid w:val="75E5007C"/>
    <w:rsid w:val="763E0923"/>
    <w:rsid w:val="76BB13B9"/>
    <w:rsid w:val="76BF7313"/>
    <w:rsid w:val="76D96F84"/>
    <w:rsid w:val="773D3DDD"/>
    <w:rsid w:val="776A7991"/>
    <w:rsid w:val="77861774"/>
    <w:rsid w:val="77A0007C"/>
    <w:rsid w:val="77D75CCB"/>
    <w:rsid w:val="78412063"/>
    <w:rsid w:val="79300B45"/>
    <w:rsid w:val="794D3E18"/>
    <w:rsid w:val="79F3729A"/>
    <w:rsid w:val="7ACB0498"/>
    <w:rsid w:val="7AED0B4D"/>
    <w:rsid w:val="7C1E4487"/>
    <w:rsid w:val="7C215E02"/>
    <w:rsid w:val="7C5E2171"/>
    <w:rsid w:val="7C6E3C5D"/>
    <w:rsid w:val="7CF23764"/>
    <w:rsid w:val="7D776546"/>
    <w:rsid w:val="7DC21A58"/>
    <w:rsid w:val="7E020680"/>
    <w:rsid w:val="7E1F727F"/>
    <w:rsid w:val="7E840C73"/>
    <w:rsid w:val="7F891F37"/>
    <w:rsid w:val="7F9A2A5D"/>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2">
    <w:name w:val="heading 2"/>
    <w:basedOn w:val="1"/>
    <w:next w:val="1"/>
    <w:link w:val="12"/>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customStyle="1" w:styleId="11">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2">
    <w:name w:val="标题 2 Char"/>
    <w:link w:val="2"/>
    <w:qFormat/>
    <w:uiPriority w:val="0"/>
    <w:rPr>
      <w:rFonts w:ascii="Arial" w:hAnsi="Arial" w:eastAsia="楷体"/>
      <w:b/>
      <w:sz w:val="32"/>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10797</Words>
  <Characters>11265</Characters>
  <Lines>0</Lines>
  <Paragraphs>0</Paragraphs>
  <TotalTime>19</TotalTime>
  <ScaleCrop>false</ScaleCrop>
  <LinksUpToDate>false</LinksUpToDate>
  <CharactersWithSpaces>11316</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Half city、</cp:lastModifiedBy>
  <dcterms:modified xsi:type="dcterms:W3CDTF">2023-11-13T09:38:04Z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04AA9079B8E54CA08917484A653528D0</vt:lpwstr>
  </property>
</Properties>
</file>